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5000" w:type="pct"/>
        <w:tblInd w:w="0" w:type="dxa"/>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318"/>
        <w:gridCol w:w="591"/>
        <w:gridCol w:w="561"/>
        <w:gridCol w:w="596"/>
        <w:gridCol w:w="3627"/>
        <w:gridCol w:w="512"/>
        <w:gridCol w:w="491"/>
        <w:gridCol w:w="808"/>
        <w:gridCol w:w="1018"/>
      </w:tblGrid>
      <w:tr>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800" w:hRule="atLeast"/>
        </w:trPr>
        <w:tc>
          <w:tcPr>
            <w:tcW w:w="5000" w:type="pct"/>
            <w:gridSpan w:val="9"/>
            <w:tcBorders>
              <w:tl2br w:val="nil"/>
              <w:tr2bl w:val="nil"/>
            </w:tcBorders>
            <w:shd w:val="clear" w:color="auto" w:fill="auto"/>
            <w:vAlign w:val="center"/>
          </w:tcPr>
          <w:p>
            <w:pPr>
              <w:pStyle w:val="2"/>
              <w:pageBreakBefore w:val="0"/>
              <w:widowControl w:val="0"/>
              <w:kinsoku/>
              <w:wordWrap/>
              <w:overflowPunct/>
              <w:topLinePunct w:val="0"/>
              <w:autoSpaceDE/>
              <w:autoSpaceDN/>
              <w:bidi w:val="0"/>
              <w:adjustRightInd/>
              <w:snapToGrid/>
              <w:spacing w:line="360" w:lineRule="exact"/>
              <w:jc w:val="center"/>
              <w:textAlignment w:val="auto"/>
              <w:rPr>
                <w:rFonts w:hint="eastAsia" w:ascii="方正仿宋_GB2312" w:hAnsi="方正仿宋_GB2312" w:eastAsia="方正仿宋_GB2312" w:cs="方正仿宋_GB2312"/>
                <w:b/>
                <w:bCs/>
                <w:sz w:val="28"/>
                <w:szCs w:val="28"/>
                <w:lang w:val="en-US" w:eastAsia="zh-CN"/>
              </w:rPr>
            </w:pPr>
            <w:bookmarkStart w:id="0" w:name="_Toc8613"/>
            <w:r>
              <w:rPr>
                <w:rFonts w:hint="eastAsia"/>
                <w:lang w:val="en-US" w:eastAsia="zh-CN"/>
              </w:rPr>
              <w:t>智慧托育综合应用一体机</w:t>
            </w:r>
            <w:bookmarkEnd w:id="0"/>
          </w:p>
        </w:tc>
      </w:tr>
      <w:tr>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400" w:hRule="atLeast"/>
        </w:trPr>
        <w:tc>
          <w:tcPr>
            <w:tcW w:w="186" w:type="pct"/>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方正仿宋_GB2312" w:hAnsi="方正仿宋_GB2312" w:eastAsia="方正仿宋_GB2312" w:cs="方正仿宋_GB2312"/>
                <w:b/>
                <w:bCs/>
                <w:sz w:val="28"/>
                <w:szCs w:val="28"/>
                <w:lang w:val="en-US" w:eastAsia="zh-CN"/>
              </w:rPr>
            </w:pPr>
            <w:r>
              <w:rPr>
                <w:rFonts w:hint="eastAsia" w:ascii="方正仿宋_GB2312" w:hAnsi="方正仿宋_GB2312" w:eastAsia="方正仿宋_GB2312" w:cs="方正仿宋_GB2312"/>
                <w:b/>
                <w:bCs/>
                <w:sz w:val="28"/>
                <w:szCs w:val="28"/>
                <w:lang w:val="en-US" w:eastAsia="zh-CN"/>
              </w:rPr>
              <w:t>序号</w:t>
            </w:r>
          </w:p>
        </w:tc>
        <w:tc>
          <w:tcPr>
            <w:tcW w:w="346" w:type="pct"/>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方正仿宋_GB2312" w:hAnsi="方正仿宋_GB2312" w:eastAsia="方正仿宋_GB2312" w:cs="方正仿宋_GB2312"/>
                <w:b/>
                <w:bCs/>
                <w:sz w:val="28"/>
                <w:szCs w:val="28"/>
                <w:lang w:val="en-US" w:eastAsia="zh-CN"/>
              </w:rPr>
            </w:pPr>
            <w:r>
              <w:rPr>
                <w:rFonts w:hint="eastAsia" w:ascii="方正仿宋_GB2312" w:hAnsi="方正仿宋_GB2312" w:eastAsia="方正仿宋_GB2312" w:cs="方正仿宋_GB2312"/>
                <w:b/>
                <w:bCs/>
                <w:sz w:val="28"/>
                <w:szCs w:val="28"/>
                <w:lang w:val="en-US" w:eastAsia="zh-CN"/>
              </w:rPr>
              <w:t>产品名称</w:t>
            </w:r>
          </w:p>
        </w:tc>
        <w:tc>
          <w:tcPr>
            <w:tcW w:w="329" w:type="pct"/>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方正仿宋_GB2312" w:hAnsi="方正仿宋_GB2312" w:eastAsia="方正仿宋_GB2312" w:cs="方正仿宋_GB2312"/>
                <w:b/>
                <w:bCs/>
                <w:sz w:val="28"/>
                <w:szCs w:val="28"/>
                <w:lang w:val="en-US" w:eastAsia="zh-CN"/>
              </w:rPr>
            </w:pPr>
            <w:r>
              <w:rPr>
                <w:rFonts w:hint="eastAsia" w:ascii="方正仿宋_GB2312" w:hAnsi="方正仿宋_GB2312" w:eastAsia="方正仿宋_GB2312" w:cs="方正仿宋_GB2312"/>
                <w:b/>
                <w:bCs/>
                <w:sz w:val="28"/>
                <w:szCs w:val="28"/>
                <w:lang w:val="en-US" w:eastAsia="zh-CN"/>
              </w:rPr>
              <w:t>品牌</w:t>
            </w:r>
          </w:p>
        </w:tc>
        <w:tc>
          <w:tcPr>
            <w:tcW w:w="349" w:type="pct"/>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方正仿宋_GB2312" w:hAnsi="方正仿宋_GB2312" w:eastAsia="方正仿宋_GB2312" w:cs="方正仿宋_GB2312"/>
                <w:b/>
                <w:bCs/>
                <w:sz w:val="28"/>
                <w:szCs w:val="28"/>
                <w:lang w:val="en-US" w:eastAsia="zh-CN"/>
              </w:rPr>
            </w:pPr>
            <w:r>
              <w:rPr>
                <w:rFonts w:hint="eastAsia" w:ascii="方正仿宋_GB2312" w:hAnsi="方正仿宋_GB2312" w:eastAsia="方正仿宋_GB2312" w:cs="方正仿宋_GB2312"/>
                <w:b/>
                <w:bCs/>
                <w:sz w:val="28"/>
                <w:szCs w:val="28"/>
                <w:lang w:val="en-US" w:eastAsia="zh-CN"/>
              </w:rPr>
              <w:t>产品型号</w:t>
            </w:r>
          </w:p>
        </w:tc>
        <w:tc>
          <w:tcPr>
            <w:tcW w:w="2128" w:type="pct"/>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方正仿宋_GB2312" w:hAnsi="方正仿宋_GB2312" w:eastAsia="方正仿宋_GB2312" w:cs="方正仿宋_GB2312"/>
                <w:b/>
                <w:bCs/>
                <w:sz w:val="28"/>
                <w:szCs w:val="28"/>
                <w:lang w:val="en-US" w:eastAsia="zh-CN"/>
              </w:rPr>
            </w:pPr>
            <w:r>
              <w:rPr>
                <w:rFonts w:hint="eastAsia" w:ascii="方正仿宋_GB2312" w:hAnsi="方正仿宋_GB2312" w:eastAsia="方正仿宋_GB2312" w:cs="方正仿宋_GB2312"/>
                <w:b/>
                <w:bCs/>
                <w:sz w:val="28"/>
                <w:szCs w:val="28"/>
                <w:lang w:val="en-US" w:eastAsia="zh-CN"/>
              </w:rPr>
              <w:t>基本参数</w:t>
            </w:r>
          </w:p>
        </w:tc>
        <w:tc>
          <w:tcPr>
            <w:tcW w:w="300" w:type="pct"/>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方正仿宋_GB2312" w:hAnsi="方正仿宋_GB2312" w:eastAsia="方正仿宋_GB2312" w:cs="方正仿宋_GB2312"/>
                <w:b/>
                <w:bCs/>
                <w:sz w:val="28"/>
                <w:szCs w:val="28"/>
                <w:lang w:val="en-US" w:eastAsia="zh-CN"/>
              </w:rPr>
            </w:pPr>
            <w:r>
              <w:rPr>
                <w:rFonts w:hint="eastAsia" w:ascii="方正仿宋_GB2312" w:hAnsi="方正仿宋_GB2312" w:eastAsia="方正仿宋_GB2312" w:cs="方正仿宋_GB2312"/>
                <w:b/>
                <w:bCs/>
                <w:sz w:val="28"/>
                <w:szCs w:val="28"/>
                <w:lang w:val="en-US" w:eastAsia="zh-CN"/>
              </w:rPr>
              <w:t>数量</w:t>
            </w:r>
          </w:p>
        </w:tc>
        <w:tc>
          <w:tcPr>
            <w:tcW w:w="288" w:type="pct"/>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方正仿宋_GB2312" w:hAnsi="方正仿宋_GB2312" w:eastAsia="方正仿宋_GB2312" w:cs="方正仿宋_GB2312"/>
                <w:b/>
                <w:bCs/>
                <w:sz w:val="28"/>
                <w:szCs w:val="28"/>
                <w:lang w:val="en-US" w:eastAsia="zh-CN"/>
              </w:rPr>
            </w:pPr>
            <w:r>
              <w:rPr>
                <w:rFonts w:hint="eastAsia" w:ascii="方正仿宋_GB2312" w:hAnsi="方正仿宋_GB2312" w:eastAsia="方正仿宋_GB2312" w:cs="方正仿宋_GB2312"/>
                <w:b/>
                <w:bCs/>
                <w:sz w:val="28"/>
                <w:szCs w:val="28"/>
                <w:lang w:val="en-US" w:eastAsia="zh-CN"/>
              </w:rPr>
              <w:t>单位</w:t>
            </w:r>
          </w:p>
        </w:tc>
        <w:tc>
          <w:tcPr>
            <w:tcW w:w="474" w:type="pct"/>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方正仿宋_GB2312" w:hAnsi="方正仿宋_GB2312" w:eastAsia="方正仿宋_GB2312" w:cs="方正仿宋_GB2312"/>
                <w:b/>
                <w:bCs/>
                <w:sz w:val="28"/>
                <w:szCs w:val="28"/>
                <w:lang w:val="en-US" w:eastAsia="zh-CN"/>
              </w:rPr>
            </w:pPr>
            <w:r>
              <w:rPr>
                <w:rFonts w:hint="eastAsia" w:ascii="方正仿宋_GB2312" w:hAnsi="方正仿宋_GB2312" w:eastAsia="方正仿宋_GB2312" w:cs="方正仿宋_GB2312"/>
                <w:b/>
                <w:bCs/>
                <w:sz w:val="28"/>
                <w:szCs w:val="28"/>
                <w:lang w:val="en-US" w:eastAsia="zh-CN"/>
              </w:rPr>
              <w:t>单价（元）</w:t>
            </w:r>
          </w:p>
        </w:tc>
        <w:tc>
          <w:tcPr>
            <w:tcW w:w="597" w:type="pct"/>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方正仿宋_GB2312" w:hAnsi="方正仿宋_GB2312" w:eastAsia="方正仿宋_GB2312" w:cs="方正仿宋_GB2312"/>
                <w:b/>
                <w:bCs/>
                <w:sz w:val="28"/>
                <w:szCs w:val="28"/>
                <w:lang w:val="en-US" w:eastAsia="zh-CN"/>
              </w:rPr>
            </w:pPr>
            <w:r>
              <w:rPr>
                <w:rFonts w:hint="eastAsia" w:ascii="方正仿宋_GB2312" w:hAnsi="方正仿宋_GB2312" w:eastAsia="方正仿宋_GB2312" w:cs="方正仿宋_GB2312"/>
                <w:b/>
                <w:bCs/>
                <w:sz w:val="28"/>
                <w:szCs w:val="28"/>
                <w:lang w:val="en-US" w:eastAsia="zh-CN"/>
              </w:rPr>
              <w:t>小计（元）</w:t>
            </w:r>
          </w:p>
        </w:tc>
      </w:tr>
      <w:tr>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400" w:hRule="atLeast"/>
        </w:trPr>
        <w:tc>
          <w:tcPr>
            <w:tcW w:w="186" w:type="pct"/>
            <w:tcBorders>
              <w:tl2br w:val="nil"/>
              <w:tr2bl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1</w:t>
            </w:r>
          </w:p>
        </w:tc>
        <w:tc>
          <w:tcPr>
            <w:tcW w:w="346" w:type="pct"/>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智慧托育综合应用一体机</w:t>
            </w:r>
          </w:p>
        </w:tc>
        <w:tc>
          <w:tcPr>
            <w:tcW w:w="329" w:type="pct"/>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方正仿宋_GB2312" w:hAnsi="方正仿宋_GB2312" w:eastAsia="方正仿宋_GB2312" w:cs="方正仿宋_GB2312"/>
                <w:sz w:val="28"/>
                <w:szCs w:val="28"/>
                <w:lang w:val="en-US" w:eastAsia="zh-CN"/>
              </w:rPr>
            </w:pPr>
          </w:p>
        </w:tc>
        <w:tc>
          <w:tcPr>
            <w:tcW w:w="349" w:type="pct"/>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方正仿宋_GB2312" w:hAnsi="方正仿宋_GB2312" w:eastAsia="方正仿宋_GB2312" w:cs="方正仿宋_GB2312"/>
                <w:sz w:val="28"/>
                <w:szCs w:val="28"/>
                <w:lang w:val="en-US" w:eastAsia="zh-CN"/>
              </w:rPr>
            </w:pPr>
          </w:p>
        </w:tc>
        <w:tc>
          <w:tcPr>
            <w:tcW w:w="2128" w:type="pct"/>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b w:val="0"/>
                <w:bCs w:val="0"/>
                <w:sz w:val="28"/>
                <w:szCs w:val="28"/>
                <w:lang w:val="en-US" w:eastAsia="zh-CN"/>
              </w:rPr>
              <w:t>一、软件要求：</w:t>
            </w:r>
            <w:r>
              <w:rPr>
                <w:rFonts w:hint="eastAsia" w:ascii="方正仿宋_GB2312" w:hAnsi="方正仿宋_GB2312" w:eastAsia="方正仿宋_GB2312" w:cs="方正仿宋_GB2312"/>
                <w:sz w:val="28"/>
                <w:szCs w:val="28"/>
                <w:lang w:val="en-US" w:eastAsia="zh-CN"/>
              </w:rPr>
              <w:br w:type="textWrapping"/>
            </w:r>
            <w:r>
              <w:rPr>
                <w:rFonts w:hint="eastAsia" w:ascii="方正仿宋_GB2312" w:hAnsi="方正仿宋_GB2312" w:eastAsia="方正仿宋_GB2312" w:cs="方正仿宋_GB2312"/>
                <w:sz w:val="28"/>
                <w:szCs w:val="28"/>
                <w:lang w:val="en-US" w:eastAsia="zh-CN"/>
              </w:rPr>
              <w:t>内置安装智慧托育的服务应用，面向多端提供应用服务支持：</w:t>
            </w:r>
          </w:p>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1、面向PC Web的网页端服务应用，功能要求如下：</w:t>
            </w:r>
          </w:p>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（1）面向机构的信息维护和管理，包括机构的基础信息、班级信息维护、关键用户的角色和权限维护、操作日志行为升级等管理、托育项目（半天班、全天班）及上课时段的维护和管理定义等；</w:t>
            </w:r>
          </w:p>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2）招生及学生管理：提供招生全生命周期的过程跟进和转化的业务支持，包括日程、沟通记录、标签管理、意向等级、招生渠道等信息的管理，支持入托流程化配置和管理，包括相关申请表单的配置和维护，从而实现入托儿童全生命周期的各类数据资料档案的数字化管理应用；</w:t>
            </w:r>
          </w:p>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（3）业务跟踪管理，包括提前/推迟入托、转班、中途离托等各类业务的管理；</w:t>
            </w:r>
          </w:p>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（4）出勤管理：维护出勤日历、结合人脸识别等周边设备，实现儿童的的出勤记录自动同步、出勤统计和报表查询；</w:t>
            </w:r>
          </w:p>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（5）儿童日常的保育教育工作日志维护管理，包括吃餐、饮水、睡眠、如厕、情绪、活动等系列场景的观察记录，形成以儿童个体为管理视角的全面的保育教育养护日志方案；</w:t>
            </w:r>
          </w:p>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6）收退费管理：包括收退费项目的定义、结算标准规则的植入、收费账单的处理、结算的处理，以及各种业务场景对应的费用结算/退费的处理支持，支持根据相关业务提供对应的报表和数据统计，从而为精细化管理提供业务和数据支持，减少人工，为精细化管理提供系统化的方案支持；</w:t>
            </w:r>
          </w:p>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7）儿童健康档案信息管理，用于体系性的管理儿童的体检体测数据，形成儿童的个体健康档案管理，用于对儿童的生长发育评价及管理。通过建立专案，用于管理体弱儿、肥胖儿、过敏信息等特异体质儿童的专案跟踪检测和管理，通过病假跟踪及多发病管理，提供健康提升、预防信息推送等系列工具，帮助保健医更好的做好相关病症的跟踪管理和预防工作。</w:t>
            </w:r>
          </w:p>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（8）儿童保险管理：为儿童的健康和安全提供额外的保障支持；</w:t>
            </w:r>
          </w:p>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（9）家园互动数据管理和支持：提供科学育儿的资源维护管理，为教职工和家长提供科学育儿、宣传和推动医育融合理念的普及和落地。</w:t>
            </w:r>
          </w:p>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2、面向移动端的服务应用，功能要求如下：</w:t>
            </w:r>
          </w:p>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1）为托育中心的老师提供的移动化应用支持，包括：儿童花名册管理、公告通知推送、儿童日常活动记录和跟踪、观察记录、儿童学习发展评价、活动发布、问卷调查、请假审核、特殊体质儿童管理、病假跟踪管理等系列业务操作及家园互动交流应用；</w:t>
            </w:r>
          </w:p>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 xml:space="preserve">（2）为托育中心的家长提供面向家园共育的移动端应用，功能包括：查看公告通知、考勤、日程、账单查看及线上缴费、请假、查看儿童每日报告、观察记录、成长报告，查看儿童的成长相册、作品集，维护儿童个人资料，和老师进行一对一互动沟通，参与调查和习惯打卡，查看和报名参加活动，参与问卷调查，意见及问题反馈等系列家园互动和共育应用场景。 </w:t>
            </w:r>
          </w:p>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（3）为托育中心的管理者提供移动化管理支持，利用移动化工具可以掌握中心日常运营的KPI，为辅助管理提供抓手。</w:t>
            </w:r>
          </w:p>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3、面向智能硬件集成的集成服务，功能要求如下：</w:t>
            </w:r>
          </w:p>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（1）可集成人脸识别等门禁设备，实现儿童的接送打卡；</w:t>
            </w:r>
          </w:p>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（2）支持扩展儿童穿戴式设备，实现定位、运动量、心率及睡眠监测等系列物联网硬件接入和集成；</w:t>
            </w:r>
          </w:p>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（3）支持集成体测硬件，实现儿童的体适能监测和和管理。</w:t>
            </w:r>
          </w:p>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二、硬件要求：</w:t>
            </w:r>
          </w:p>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1、品牌要求：国产品牌；</w:t>
            </w:r>
          </w:p>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2、外观：2U2路机架式服务器，可放入42U标准机柜；</w:t>
            </w:r>
          </w:p>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3、CPU：配置≥1颗处理器英特尔至强银牌4314(2.4GHz/16-Core/24MB/135W)Ice lake处理器(带2U型材散热器)；</w:t>
            </w:r>
          </w:p>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4、内存：配置≥32GB DDR4内存，；</w:t>
            </w:r>
          </w:p>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5、内存扩展性：支持≥16个内存插槽；</w:t>
            </w:r>
          </w:p>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6、硬盘：配置≥2块480GB SATA SSD+3*1.2T SAS硬盘；</w:t>
            </w:r>
          </w:p>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7、阵列控制器配置：配置1张独立硬件Raid阵列卡，支持RAID0/1/10；</w:t>
            </w:r>
          </w:p>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8、网卡：配置≥4*GE电口;</w:t>
            </w:r>
          </w:p>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 xml:space="preserve">9、电源：配置900W交流双电源，满配冗余风扇； </w:t>
            </w:r>
          </w:p>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10、管理维护：配置独立的远程管理控制端口，支持远程监控图形界面, 可实现与操作系统无关的远程对服务器的完全控制，包括远程的开机、关机、重启、虚拟软驱、虚拟光驱等操作；</w:t>
            </w:r>
          </w:p>
        </w:tc>
        <w:tc>
          <w:tcPr>
            <w:tcW w:w="300" w:type="pct"/>
            <w:tcBorders>
              <w:tl2br w:val="nil"/>
              <w:tr2bl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1</w:t>
            </w:r>
          </w:p>
        </w:tc>
        <w:tc>
          <w:tcPr>
            <w:tcW w:w="288" w:type="pct"/>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套</w:t>
            </w:r>
          </w:p>
        </w:tc>
        <w:tc>
          <w:tcPr>
            <w:tcW w:w="474" w:type="pct"/>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方正仿宋_GB2312" w:hAnsi="方正仿宋_GB2312" w:eastAsia="方正仿宋_GB2312" w:cs="方正仿宋_GB2312"/>
                <w:sz w:val="28"/>
                <w:szCs w:val="28"/>
                <w:lang w:val="en-US" w:eastAsia="zh-CN"/>
              </w:rPr>
            </w:pPr>
          </w:p>
        </w:tc>
        <w:tc>
          <w:tcPr>
            <w:tcW w:w="597" w:type="pct"/>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方正仿宋_GB2312" w:hAnsi="方正仿宋_GB2312" w:eastAsia="方正仿宋_GB2312" w:cs="方正仿宋_GB2312"/>
                <w:sz w:val="28"/>
                <w:szCs w:val="28"/>
                <w:lang w:val="en-US" w:eastAsia="zh-CN"/>
              </w:rPr>
            </w:pPr>
          </w:p>
        </w:tc>
      </w:tr>
      <w:tr>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1870" w:hRule="atLeast"/>
        </w:trPr>
        <w:tc>
          <w:tcPr>
            <w:tcW w:w="186" w:type="pct"/>
            <w:tcBorders>
              <w:tl2br w:val="nil"/>
              <w:tr2bl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2</w:t>
            </w:r>
          </w:p>
        </w:tc>
        <w:tc>
          <w:tcPr>
            <w:tcW w:w="346" w:type="pct"/>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智慧托育综合数据一体机</w:t>
            </w:r>
          </w:p>
        </w:tc>
        <w:tc>
          <w:tcPr>
            <w:tcW w:w="329" w:type="pct"/>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方正仿宋_GB2312" w:hAnsi="方正仿宋_GB2312" w:eastAsia="方正仿宋_GB2312" w:cs="方正仿宋_GB2312"/>
                <w:sz w:val="28"/>
                <w:szCs w:val="28"/>
                <w:lang w:val="en-US" w:eastAsia="zh-CN"/>
              </w:rPr>
            </w:pPr>
          </w:p>
        </w:tc>
        <w:tc>
          <w:tcPr>
            <w:tcW w:w="349" w:type="pct"/>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方正仿宋_GB2312" w:hAnsi="方正仿宋_GB2312" w:eastAsia="方正仿宋_GB2312" w:cs="方正仿宋_GB2312"/>
                <w:sz w:val="28"/>
                <w:szCs w:val="28"/>
                <w:lang w:val="en-US" w:eastAsia="zh-CN"/>
              </w:rPr>
            </w:pPr>
          </w:p>
        </w:tc>
        <w:tc>
          <w:tcPr>
            <w:tcW w:w="2128" w:type="pct"/>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一、软件要求：</w:t>
            </w:r>
          </w:p>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1、服务器预装智慧托育数据服务应用，提供数据存储、索引、查询等系列数据应用服务。</w:t>
            </w:r>
          </w:p>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2、消息队列服务应用组件：基于Rabbit MQ提供消息队列服务，提供接收、存储、转发消息，实现服务异步通信、解耦、削峰等场景应用。</w:t>
            </w:r>
          </w:p>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二、硬件要求：</w:t>
            </w:r>
          </w:p>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1、品牌要求：国产品牌；</w:t>
            </w:r>
          </w:p>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2、外观：2U2路机架式服务器，可放入42U标准机柜；</w:t>
            </w:r>
          </w:p>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3、CPU：配置≥1颗英特尔至强银牌4309Y(2.8GHz/8-Core/12MB/105W)Ice lake处理器(带2U型材散热器)；</w:t>
            </w:r>
          </w:p>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4、内存：配置≥16GB DDR4内存，；</w:t>
            </w:r>
          </w:p>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5、内存扩展性：支持≥16个内存插槽；</w:t>
            </w:r>
          </w:p>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6、硬盘：配置≥2块480GB SATA SSD硬盘；</w:t>
            </w:r>
          </w:p>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7、阵列控制器配置：配置1张独立硬件Raid阵列卡，支持RAID0/1/10；</w:t>
            </w:r>
          </w:p>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8、网卡：配置≥4*GE电口，</w:t>
            </w:r>
          </w:p>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 xml:space="preserve">9、电源：配置900W交流双电源，满配冗余风扇； </w:t>
            </w:r>
          </w:p>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10、管理维护：配置独立的远程管理控制端口，支持远程监控图形界面, 可实现与操作系统无关的远程对服务器的完全控制，包括远程的开机、关机、重启、虚拟软驱、虚拟光驱等操作；</w:t>
            </w:r>
          </w:p>
        </w:tc>
        <w:tc>
          <w:tcPr>
            <w:tcW w:w="300" w:type="pct"/>
            <w:tcBorders>
              <w:tl2br w:val="nil"/>
              <w:tr2bl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1</w:t>
            </w:r>
          </w:p>
        </w:tc>
        <w:tc>
          <w:tcPr>
            <w:tcW w:w="288" w:type="pct"/>
            <w:tcBorders>
              <w:tl2br w:val="nil"/>
              <w:tr2bl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套</w:t>
            </w:r>
          </w:p>
        </w:tc>
        <w:tc>
          <w:tcPr>
            <w:tcW w:w="474" w:type="pct"/>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ascii="方正仿宋_GB2312" w:hAnsi="方正仿宋_GB2312" w:eastAsia="方正仿宋_GB2312" w:cs="方正仿宋_GB2312"/>
                <w:sz w:val="28"/>
                <w:szCs w:val="28"/>
                <w:lang w:val="en-US" w:eastAsia="zh-CN"/>
              </w:rPr>
            </w:pPr>
          </w:p>
        </w:tc>
        <w:tc>
          <w:tcPr>
            <w:tcW w:w="597" w:type="pct"/>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方正仿宋_GB2312" w:hAnsi="方正仿宋_GB2312" w:eastAsia="方正仿宋_GB2312" w:cs="方正仿宋_GB2312"/>
                <w:sz w:val="28"/>
                <w:szCs w:val="28"/>
                <w:lang w:val="en-US" w:eastAsia="zh-CN"/>
              </w:rPr>
            </w:pPr>
            <w:bookmarkStart w:id="1" w:name="_GoBack"/>
            <w:bookmarkEnd w:id="1"/>
          </w:p>
        </w:tc>
      </w:tr>
    </w:tbl>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E6385C"/>
    <w:multiLevelType w:val="multilevel"/>
    <w:tmpl w:val="2FE6385C"/>
    <w:lvl w:ilvl="0" w:tentative="0">
      <w:start w:val="1"/>
      <w:numFmt w:val="chineseCounting"/>
      <w:suff w:val="nothing"/>
      <w:lvlText w:val="第%1章 "/>
      <w:lvlJc w:val="left"/>
      <w:pPr>
        <w:ind w:left="432" w:hanging="432"/>
      </w:pPr>
      <w:rPr>
        <w:rFonts w:hint="eastAsia"/>
      </w:rPr>
    </w:lvl>
    <w:lvl w:ilvl="1" w:tentative="0">
      <w:start w:val="1"/>
      <w:numFmt w:val="decimal"/>
      <w:isLgl/>
      <w:lvlText w:val="%1.%2."/>
      <w:lvlJc w:val="left"/>
      <w:pPr>
        <w:ind w:left="575" w:hanging="575"/>
      </w:pPr>
      <w:rPr>
        <w:rFonts w:hint="eastAsia"/>
      </w:rPr>
    </w:lvl>
    <w:lvl w:ilvl="2" w:tentative="0">
      <w:start w:val="1"/>
      <w:numFmt w:val="decimal"/>
      <w:pStyle w:val="2"/>
      <w:isLgl/>
      <w:lvlText w:val="%1.%2.%3."/>
      <w:lvlJc w:val="left"/>
      <w:pPr>
        <w:ind w:left="720" w:hanging="720"/>
      </w:pPr>
      <w:rPr>
        <w:rFonts w:hint="eastAsia"/>
      </w:rPr>
    </w:lvl>
    <w:lvl w:ilvl="3" w:tentative="0">
      <w:start w:val="1"/>
      <w:numFmt w:val="decimal"/>
      <w:isLgl/>
      <w:lvlText w:val="%1.%2.%3.%4."/>
      <w:lvlJc w:val="left"/>
      <w:pPr>
        <w:ind w:left="864" w:hanging="864"/>
      </w:pPr>
      <w:rPr>
        <w:rFonts w:hint="eastAsia"/>
      </w:rPr>
    </w:lvl>
    <w:lvl w:ilvl="4" w:tentative="0">
      <w:start w:val="1"/>
      <w:numFmt w:val="decimal"/>
      <w:isLgl/>
      <w:lvlText w:val="%1.%2.%3.%4.%5."/>
      <w:lvlJc w:val="left"/>
      <w:pPr>
        <w:ind w:left="1008" w:hanging="1008"/>
      </w:pPr>
      <w:rPr>
        <w:rFonts w:hint="eastAsia"/>
      </w:rPr>
    </w:lvl>
    <w:lvl w:ilvl="5" w:tentative="0">
      <w:start w:val="1"/>
      <w:numFmt w:val="decimal"/>
      <w:isLgl/>
      <w:lvlText w:val="%1.%2.%3.%4.%5.%6."/>
      <w:lvlJc w:val="left"/>
      <w:pPr>
        <w:ind w:left="1151" w:hanging="1151"/>
      </w:pPr>
      <w:rPr>
        <w:rFonts w:hint="eastAsia"/>
      </w:rPr>
    </w:lvl>
    <w:lvl w:ilvl="6" w:tentative="0">
      <w:start w:val="1"/>
      <w:numFmt w:val="decimal"/>
      <w:isLgl/>
      <w:lvlText w:val="%1.%2.%3.%4.%5.%6.%7."/>
      <w:lvlJc w:val="left"/>
      <w:pPr>
        <w:ind w:left="1296" w:hanging="1296"/>
      </w:pPr>
      <w:rPr>
        <w:rFonts w:hint="eastAsia"/>
      </w:rPr>
    </w:lvl>
    <w:lvl w:ilvl="7" w:tentative="0">
      <w:start w:val="1"/>
      <w:numFmt w:val="decimal"/>
      <w:isLgl/>
      <w:lvlText w:val="%1.%2.%3.%4.%5.%6.%7.%8."/>
      <w:lvlJc w:val="left"/>
      <w:pPr>
        <w:ind w:left="1440" w:hanging="1440"/>
      </w:pPr>
      <w:rPr>
        <w:rFonts w:hint="eastAsia"/>
      </w:rPr>
    </w:lvl>
    <w:lvl w:ilvl="8" w:tentative="0">
      <w:start w:val="1"/>
      <w:numFmt w:val="decimal"/>
      <w:isLgl/>
      <w:lvlText w:val="%1.%2.%3.%4.%5.%6.%7.%8.%9."/>
      <w:lvlJc w:val="left"/>
      <w:pPr>
        <w:ind w:left="1583" w:hanging="1583"/>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9F15B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heme="minorHAnsi" w:hAnsiTheme="minorHAnsi" w:eastAsiaTheme="minorEastAsia" w:cstheme="minorBidi"/>
      <w:kern w:val="2"/>
      <w:sz w:val="24"/>
      <w:szCs w:val="22"/>
      <w:lang w:val="en-US" w:eastAsia="zh-CN" w:bidi="ar-SA"/>
    </w:rPr>
  </w:style>
  <w:style w:type="paragraph" w:styleId="2">
    <w:name w:val="heading 3"/>
    <w:basedOn w:val="1"/>
    <w:next w:val="1"/>
    <w:unhideWhenUsed/>
    <w:qFormat/>
    <w:uiPriority w:val="0"/>
    <w:pPr>
      <w:keepNext/>
      <w:keepLines/>
      <w:numPr>
        <w:ilvl w:val="2"/>
        <w:numId w:val="1"/>
      </w:numPr>
      <w:spacing w:before="260" w:after="260" w:line="413" w:lineRule="auto"/>
      <w:outlineLvl w:val="2"/>
    </w:pPr>
    <w:rPr>
      <w:b/>
      <w:sz w:val="32"/>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TotalTime>
  <ScaleCrop>false</ScaleCrop>
  <LinksUpToDate>false</LinksUpToDate>
  <CharactersWithSpaces>0</CharactersWithSpaces>
  <Application>WPS Office_11.8.2.11978_F1E327BC-269C-435d-A152-05C5408002CA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2026-05-24T09:25:26Z</dcterms:created>
  <dc:creator>XingZhong</dc:creator>
  <cp:lastModifiedBy>微信用户</cp:lastModifiedBy>
  <dcterms:modified xsi:type="dcterms:W3CDTF">2026-05-24T09:40:18Z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2052-11.8.2.11978</vt:lpwstr>
  </property>
  <property fmtid="{D5CDD505-2E9C-101B-9397-08002B2CF9AE}" pid="3" name="ICV">
    <vt:lpwstr>3134F233F389470DBE6882C951953004</vt:lpwstr>
  </property>
</Properties>
</file>