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>Command DB Schema Guidebody { font-family: "Helvetica Neue", Arial, sans-serif; color: #111827; margin: 42px; line-height: 1.55; font-size: 12pt; } h1 { font-size: 26pt; margin: 0 0 8px 0; color: #7f1d1d; } h2 { font-size: 17pt; margin: 26px 0 8px 0; color: #111827; border-bottom: 1px solid #d1d5db; padding-bottom: 4px; } h3 { font-size: 13pt; margin: 18px 0 6px 0; color: #111827; } p, li { margin: 0 0 8px 0; } ul, ol { margin: 8px 0 12px 22px; padding: 0; } table { width: 100%; border-collapse: collapse; margin: 12px 0 18px 0; } th, td { border: 1px solid #d1d5db; padding: 8px 10px; vertical-align: top; text-align: left; } th { background: #f3f4f6; font-weight: 700; } code { font-family: "SFMono-Regular", Menlo, monospace; background: #f3f4f6; padding: 1px 4px; } pre { background: #f8fafc; border: 1px solid #cbd5e1; padding: 12px 14px; overflow: auto; white-space: pre-wrap; } .meta td:first-child { width: 180px; font-weight: 700; background: #f9fafb; } .note { background: #f8fafc; border: 1px solid #cbd5e1; padding: 12px 14px; margin: 14px 0; } .small { color: #4b5563; font-size: 10.5pt; }</w:t>
      </w:r>
    </w:p>
    <w:p>
      <w:pPr/>
      <w:r>
        <w:rPr>
          <w:rFonts w:ascii="Helvetica" w:hAnsi="Helvetica" w:cs="Helvetica"/>
          <w:sz w:val="40"/>
          <w:sz-cs w:val="40"/>
          <w:b/>
        </w:rPr>
        <w:t xml:space="preserve">X Dragon Command Back Office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DB Schema Guide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Audience</w:t>
        <w:tab/>
        <w:t xml:space="preserve"> Technical reviewers, operators, and developers</w:t>
        <w:tab/>
        <w:t xml:space="preserve"> </w:t>
      </w:r>
    </w:p>
    <w:p>
      <w:pPr/>
      <w:r>
        <w:rPr>
          <w:rFonts w:ascii="Helvetica" w:hAnsi="Helvetica" w:cs="Helvetica"/>
          <w:sz w:val="24"/>
          <w:sz-cs w:val="24"/>
        </w:rPr>
        <w:t xml:space="preserve">Purpose</w:t>
        <w:tab/>
        <w:t xml:space="preserve"> Summarize the current Prisma schema, describe the tables by feature domain, and explain the main data relationships and hierarchy.</w:t>
        <w:tab/>
        <w:t xml:space="preserve"> </w:t>
      </w:r>
    </w:p>
    <w:p>
      <w:pPr/>
      <w:r>
        <w:rPr>
          <w:rFonts w:ascii="Helvetica" w:hAnsi="Helvetica" w:cs="Helvetica"/>
          <w:sz w:val="24"/>
          <w:sz-cs w:val="24"/>
        </w:rPr>
        <w:t xml:space="preserve">Schema Source</w:t>
        <w:tab/>
        <w:t xml:space="preserve"> </w:t>
      </w:r>
      <w:r>
        <w:rPr>
          <w:rFonts w:ascii="Courier" w:hAnsi="Courier" w:cs="Courier"/>
          <w:sz w:val="24"/>
          <w:sz-cs w:val="24"/>
        </w:rPr>
        <w:t xml:space="preserve">prisma/schema.prisma</w:t>
      </w:r>
      <w:r>
        <w:rPr>
          <w:rFonts w:ascii="Helvetica" w:hAnsi="Helvetica" w:cs="Helvetica"/>
          <w:sz w:val="24"/>
          <w:sz-cs w:val="24"/>
        </w:rPr>
        <w:t xml:space="preserve">in the current checked-out source as of 2026-03-23</w:t>
        <w:tab/>
        <w:t xml:space="preserve"> This schema now includes install setup state and the phase-1 scheduling domain alongside the earlier identity, brand, content, and lead tables.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1. Schema Overview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The schema is organized around eight main domains: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Legacy user/auth tables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Brand and runtime configuration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Scheduling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Install setup state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Backoffice operator identity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External/client identity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Content (prompts, guides, and articles)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Leads and lead eventsThe most important structural rule is</w:t>
      </w:r>
      <w:r>
        <w:rPr>
          <w:rFonts w:ascii="Helvetica" w:hAnsi="Helvetica" w:cs="Helvetica"/>
          <w:sz w:val="24"/>
          <w:sz-cs w:val="24"/>
          <w:b/>
        </w:rPr>
        <w:t xml:space="preserve">brand scoping</w:t>
      </w:r>
      <w:r>
        <w:rPr>
          <w:rFonts w:ascii="Helvetica" w:hAnsi="Helvetica" w:cs="Helvetica"/>
          <w:sz w:val="24"/>
          <w:sz-cs w:val="24"/>
        </w:rPr>
        <w:t xml:space="preserve">. Most operational tables are anchored under</w:t>
      </w:r>
      <w:r>
        <w:rPr>
          <w:rFonts w:ascii="Courier" w:hAnsi="Courier" w:cs="Courier"/>
          <w:sz w:val="24"/>
          <w:sz-cs w:val="24"/>
        </w:rPr>
        <w:t xml:space="preserve">Brand</w:t>
      </w:r>
      <w:r>
        <w:rPr>
          <w:rFonts w:ascii="Helvetica" w:hAnsi="Helvetica" w:cs="Helvetica"/>
          <w:sz w:val="24"/>
          <w:sz-cs w:val="24"/>
        </w:rPr>
        <w:t xml:space="preserve">, which is the installâ€™s primary tenant/context boundary.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2. Core Enums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Enum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Values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Used For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SETUP_PENDING, ACTIVE, DISABLED</w:t>
        <w:tab/>
        <w:t xml:space="preserve"> Brand lifecycle and runtime readiness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BrandEnvironment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PRODUCTION, PREVIEW</w:t>
        <w:tab/>
        <w:t xml:space="preserve"> Host mapping by environment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BrandHostKind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PUBLIC, ADMIN, APEX, ALIAS</w:t>
        <w:tab/>
        <w:t xml:space="preserve"> Brand hostname types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BrandEmailConfigStatus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ACTIVE, INACTIVE</w:t>
        <w:tab/>
        <w:t xml:space="preserve"> Brand email readiness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BrandEmailProvider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RESEND</w:t>
        <w:tab/>
        <w:t xml:space="preserve"> Current supported brand email provider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ScheduleEventSeriesStatus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DRAFT, ACTIVE, ARCHIVED</w:t>
        <w:tab/>
        <w:t xml:space="preserve"> Schedule series lifecycle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ScheduleRecurrencePattern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NONE, WEEKLY</w:t>
        <w:tab/>
        <w:t xml:space="preserve"> Series recurrence strategy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ScheduleWeekday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SUNDAY ... SATURDAY</w:t>
        <w:tab/>
        <w:t xml:space="preserve"> Series weekly recurrence days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ScheduleEventOccurrenceStatus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SCHEDULED, CANCELLED</w:t>
        <w:tab/>
        <w:t xml:space="preserve"> Occurrence lifecycle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ScheduleResourceType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STAGE, FOOD_SPOT, MARKET_SPOT, OTHER</w:t>
        <w:tab/>
        <w:t xml:space="preserve"> Resource classification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ScheduleParticipantType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ENTERTAINMENT, FOOD_VENDOR, MARKET_VENDOR</w:t>
        <w:tab/>
        <w:t xml:space="preserve"> Schedulable participant classification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ScheduleParticipantStatus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ACTIVE, INACTIVE</w:t>
        <w:tab/>
        <w:t xml:space="preserve"> Participant availability state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ScheduleAssignmentKind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TIMED_SLOT, FULL_DAY</w:t>
        <w:tab/>
        <w:t xml:space="preserve"> Assignment behavior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ScheduleAssignmentStatus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DRAFT, PUBLISHED, CANCELLED</w:t>
        <w:tab/>
        <w:t xml:space="preserve"> Assignment public visibility state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BackofficeRole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SUPERADMIN, STAFF</w:t>
        <w:tab/>
        <w:t xml:space="preserve"> Backoffice authorization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BackofficeUserStatus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ACTIVE, BLOCKED</w:t>
        <w:tab/>
        <w:t xml:space="preserve"> Backoffice sign-in status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BackofficeMfaMethod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AUTHENTICATOR_APP</w:t>
        <w:tab/>
        <w:t xml:space="preserve"> Backoffice MFA method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ExternalUserStatus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ACTIVE, BLOCKED</w:t>
        <w:tab/>
        <w:t xml:space="preserve"> Public/client account status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UserStatus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ACTIVE, SUSPENDED</w:t>
        <w:tab/>
        <w:t xml:space="preserve"> Legacy user status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UserRole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ADMIN, USER</w:t>
        <w:tab/>
        <w:t xml:space="preserve"> Legacy user role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PromptStatus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DRAFT, PUBLISHED, ARCHIVED</w:t>
        <w:tab/>
        <w:t xml:space="preserve"> Prompt and article publishing state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LeadSource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CONTACT, CHAT</w:t>
        <w:tab/>
        <w:t xml:space="preserve"> Lead origin</w:t>
        <w:tab/>
        <w:t xml:space="preserve"> 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3. Data Hierarchy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InstallProfile</w:t>
      </w:r>
      <w:r>
        <w:rPr>
          <w:rFonts w:ascii="Helvetica" w:hAnsi="Helvetica" w:cs="Helvetica"/>
          <w:sz w:val="24"/>
          <w:sz-cs w:val="24"/>
        </w:rPr>
        <w:t xml:space="preserve">records whether the install is initialized and which brand is primary.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Brand</w:t>
      </w:r>
      <w:r>
        <w:rPr>
          <w:rFonts w:ascii="Helvetica" w:hAnsi="Helvetica" w:cs="Helvetica"/>
          <w:sz w:val="24"/>
          <w:sz-cs w:val="24"/>
        </w:rPr>
        <w:t xml:space="preserve">sits at the center of runtime configuration, scheduling, content, public identities, and lead data.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Backoffice users</w:t>
      </w:r>
      <w:r>
        <w:rPr>
          <w:rFonts w:ascii="Helvetica" w:hAnsi="Helvetica" w:cs="Helvetica"/>
          <w:sz w:val="24"/>
          <w:sz-cs w:val="24"/>
        </w:rPr>
        <w:t xml:space="preserve">gain brand access through the join table</w:t>
      </w:r>
      <w:r>
        <w:rPr>
          <w:rFonts w:ascii="Courier" w:hAnsi="Courier" w:cs="Courier"/>
          <w:sz w:val="24"/>
          <w:sz-cs w:val="24"/>
        </w:rPr>
        <w:t xml:space="preserve">BackofficeUserBrandAccess</w:t>
      </w:r>
      <w:r>
        <w:rPr>
          <w:rFonts w:ascii="Helvetica" w:hAnsi="Helvetica" w:cs="Helvetica"/>
          <w:sz w:val="24"/>
          <w:sz-cs w:val="24"/>
        </w:rPr>
        <w:t xml:space="preserve">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External users</w:t>
      </w:r>
      <w:r>
        <w:rPr>
          <w:rFonts w:ascii="Helvetica" w:hAnsi="Helvetica" w:cs="Helvetica"/>
          <w:sz w:val="24"/>
          <w:sz-cs w:val="24"/>
        </w:rPr>
        <w:t xml:space="preserve">are directly brand-scoped.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Scheduling</w:t>
      </w:r>
      <w:r>
        <w:rPr>
          <w:rFonts w:ascii="Helvetica" w:hAnsi="Helvetica" w:cs="Helvetica"/>
          <w:sz w:val="24"/>
          <w:sz-cs w:val="24"/>
        </w:rPr>
        <w:t xml:space="preserve">hangs under brand through series, occurrences, resources, participants, and assignments.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Prompts, articles, and leads</w:t>
      </w:r>
      <w:r>
        <w:rPr>
          <w:rFonts w:ascii="Helvetica" w:hAnsi="Helvetica" w:cs="Helvetica"/>
          <w:sz w:val="24"/>
          <w:sz-cs w:val="24"/>
        </w:rPr>
        <w:t xml:space="preserve">are also brand-scoped or optionally brand-linked.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4. Domain: Legacy Auth And User Tables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User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Legacy user table still present in the shared schema</w:t>
        <w:tab/>
        <w:t xml:space="preserve"> Owns</w:t>
      </w:r>
      <w:r>
        <w:rPr>
          <w:rFonts w:ascii="Courier" w:hAnsi="Courier" w:cs="Courier"/>
          <w:sz w:val="24"/>
          <w:sz-cs w:val="24"/>
        </w:rPr>
        <w:t xml:space="preserve">Account</w:t>
      </w:r>
      <w:r>
        <w:rPr>
          <w:rFonts w:ascii="Helvetica" w:hAnsi="Helvetica" w:cs="Helvetica"/>
          <w:sz w:val="24"/>
          <w:sz-cs w:val="24"/>
        </w:rPr>
        <w:t xml:space="preserve">,</w:t>
      </w:r>
      <w:r>
        <w:rPr>
          <w:rFonts w:ascii="Courier" w:hAnsi="Courier" w:cs="Courier"/>
          <w:sz w:val="24"/>
          <w:sz-cs w:val="24"/>
        </w:rPr>
        <w:t xml:space="preserve">Session</w:t>
      </w:r>
      <w:r>
        <w:rPr>
          <w:rFonts w:ascii="Helvetica" w:hAnsi="Helvetica" w:cs="Helvetica"/>
          <w:sz w:val="24"/>
          <w:sz-cs w:val="24"/>
        </w:rPr>
        <w:t xml:space="preserve">,</w:t>
      </w:r>
      <w:r>
        <w:rPr>
          <w:rFonts w:ascii="Courier" w:hAnsi="Courier" w:cs="Courier"/>
          <w:sz w:val="24"/>
          <w:sz-cs w:val="24"/>
        </w:rPr>
        <w:t xml:space="preserve">LoginEvent</w:t>
      </w:r>
      <w:r>
        <w:rPr>
          <w:rFonts w:ascii="Helvetica" w:hAnsi="Helvetica" w:cs="Helvetica"/>
          <w:sz w:val="24"/>
          <w:sz-cs w:val="24"/>
        </w:rPr>
        <w:t xml:space="preserve">, and optional links to</w:t>
      </w:r>
      <w:r>
        <w:rPr>
          <w:rFonts w:ascii="Courier" w:hAnsi="Courier" w:cs="Courier"/>
          <w:sz w:val="24"/>
          <w:sz-cs w:val="24"/>
        </w:rPr>
        <w:t xml:space="preserve">ExternalUser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Account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Legacy auth provider linkage</w:t>
        <w:tab/>
        <w:t xml:space="preserve"> Standard provider/account identifier pair tied to</w:t>
      </w:r>
      <w:r>
        <w:rPr>
          <w:rFonts w:ascii="Courier" w:hAnsi="Courier" w:cs="Courier"/>
          <w:sz w:val="24"/>
          <w:sz-cs w:val="24"/>
        </w:rPr>
        <w:t xml:space="preserve">User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Session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Legacy user session records</w:t>
        <w:tab/>
        <w:t xml:space="preserve"> Session token + expiry for</w:t>
      </w:r>
      <w:r>
        <w:rPr>
          <w:rFonts w:ascii="Courier" w:hAnsi="Courier" w:cs="Courier"/>
          <w:sz w:val="24"/>
          <w:sz-cs w:val="24"/>
        </w:rPr>
        <w:t xml:space="preserve">User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EmailVerificationToken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Email verification token storage</w:t>
        <w:tab/>
        <w:t xml:space="preserve"> Token and expiry keyed by identifier.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VerificationToken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General verification token storage</w:t>
        <w:tab/>
        <w:t xml:space="preserve"> Unique by</w:t>
      </w:r>
      <w:r>
        <w:rPr>
          <w:rFonts w:ascii="Courier" w:hAnsi="Courier" w:cs="Courier"/>
          <w:sz w:val="24"/>
          <w:sz-cs w:val="24"/>
        </w:rPr>
        <w:t xml:space="preserve">(identifier, token)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PasswordResetToken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Legacy password reset flow</w:t>
        <w:tab/>
        <w:t xml:space="preserve"> Stores the hashed token, not the raw token.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LoginEvent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Legacy login audit/history</w:t>
        <w:tab/>
        <w:t xml:space="preserve"> Captures IP, optional country, user agent, and timestamp.</w:t>
        <w:tab/>
        <w:t xml:space="preserve"> 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5. Domain: Brand And Runtime Configuration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Top-level brand/tenant record</w:t>
        <w:tab/>
        <w:t xml:space="preserve"> Parent for hosts, email config, scheduling, content, leads, staff access, and external identities.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BrandHost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Host routing map for a brand</w:t>
        <w:tab/>
        <w:t xml:space="preserve"> Stores host, environment, kind, and canonical flag. Host value is globally unique.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BrandEmailConfig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Brand email settings</w:t>
        <w:tab/>
        <w:t xml:space="preserve"> One-to-one with</w:t>
      </w:r>
      <w:r>
        <w:rPr>
          <w:rFonts w:ascii="Courier" w:hAnsi="Courier" w:cs="Courier"/>
          <w:sz w:val="24"/>
          <w:sz-cs w:val="24"/>
        </w:rPr>
        <w:t xml:space="preserve">Brand</w:t>
      </w:r>
      <w:r>
        <w:rPr>
          <w:rFonts w:ascii="Helvetica" w:hAnsi="Helvetica" w:cs="Helvetica"/>
          <w:sz w:val="24"/>
          <w:sz-cs w:val="24"/>
        </w:rPr>
        <w:t xml:space="preserve">; stores provider, status, sender identity, support email, provider secret reference, and provider settings JSON.</w:t>
        <w:tab/>
        <w:t xml:space="preserve"> 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6. Domain: Scheduling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ScheduleEventSeries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Top-level recurring or one-off event program</w:t>
        <w:tab/>
        <w:t xml:space="preserve"> Brand-scoped; stores slug, timezone, recurrence pattern, recurrence days, season window, day window, status, and metadata.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ScheduleEventOccurrence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Materialized occurrence for a series</w:t>
        <w:tab/>
        <w:t xml:space="preserve"> Belongs to a series and brand; unique by</w:t>
      </w:r>
      <w:r>
        <w:rPr>
          <w:rFonts w:ascii="Courier" w:hAnsi="Courier" w:cs="Courier"/>
          <w:sz w:val="24"/>
          <w:sz-cs w:val="24"/>
        </w:rPr>
        <w:t xml:space="preserve">(scheduleEventSeriesId, occursOn)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ScheduleResource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Named stage, booth, spot, or other schedulable location</w:t>
        <w:tab/>
        <w:t xml:space="preserve"> Brand-scoped; unique by brand/name and brand/slug; stores type, sort order, active state, and metadata.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ScheduleParticipant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Unified schedulable record</w:t>
        <w:tab/>
        <w:t xml:space="preserve"> Brand-scoped; stores participant type, status, display name, summary, slug, and metadata.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ScheduleAssignment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Actual schedule placement</w:t>
        <w:tab/>
        <w:t xml:space="preserve"> Connects one occurrence, one resource, and one participant. Stores kind, publish state, start/end minutes, public display fields, notes, and metadata.</w:t>
        <w:tab/>
        <w:t xml:space="preserve"> </w:t>
      </w:r>
    </w:p>
    <w:p>
      <w:pPr/>
      <w:r>
        <w:rPr>
          <w:rFonts w:ascii="Helvetica" w:hAnsi="Helvetica" w:cs="Helvetica"/>
          <w:sz w:val="24"/>
          <w:sz-cs w:val="24"/>
        </w:rPr>
        <w:t xml:space="preserve">Important scheduling rule: publish state lives on assignments, while conflicts and occurrence-level visibility decisions are enforced in the backend service layer.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7. Domain: Install Setup State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InstallProfile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Singleton install setup state record</w:t>
        <w:tab/>
        <w:t xml:space="preserve"> Uses fixed ID</w:t>
      </w:r>
      <w:r>
        <w:rPr>
          <w:rFonts w:ascii="Courier" w:hAnsi="Courier" w:cs="Courier"/>
          <w:sz w:val="24"/>
          <w:sz-cs w:val="24"/>
        </w:rPr>
        <w:t xml:space="preserve">install</w:t>
      </w:r>
      <w:r>
        <w:rPr>
          <w:rFonts w:ascii="Helvetica" w:hAnsi="Helvetica" w:cs="Helvetica"/>
          <w:sz w:val="24"/>
          <w:sz-cs w:val="24"/>
        </w:rPr>
        <w:t xml:space="preserve">; stores display name, setup completion timestamp, and primary brand reference.</w:t>
        <w:tab/>
        <w:t xml:space="preserve"> 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8. Domain: Backoffice Identity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BackofficeUser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Primary operator account table</w:t>
        <w:tab/>
        <w:t xml:space="preserve"> Stores username, optional email, password hash, role, status, MFA data, and last selected brand key.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BackofficeUserBrandAccess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Brand access join table</w:t>
        <w:tab/>
        <w:t xml:space="preserve"> Composite primary key</w:t>
      </w:r>
      <w:r>
        <w:rPr>
          <w:rFonts w:ascii="Courier" w:hAnsi="Courier" w:cs="Courier"/>
          <w:sz w:val="24"/>
          <w:sz-cs w:val="24"/>
        </w:rPr>
        <w:t xml:space="preserve">(userId, brandId)</w:t>
      </w:r>
      <w:r>
        <w:rPr>
          <w:rFonts w:ascii="Helvetica" w:hAnsi="Helvetica" w:cs="Helvetica"/>
          <w:sz w:val="24"/>
          <w:sz-cs w:val="24"/>
        </w:rPr>
        <w:t xml:space="preserve">; grants staff brand scope.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BackofficeAccount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Backoffice auth provider linkage</w:t>
        <w:tab/>
        <w:t xml:space="preserve"> Provider/account table for backoffice identities.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BackofficeSession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Backoffice session table</w:t>
        <w:tab/>
        <w:t xml:space="preserve"> Stores session tokens and expiry for</w:t>
      </w:r>
      <w:r>
        <w:rPr>
          <w:rFonts w:ascii="Courier" w:hAnsi="Courier" w:cs="Courier"/>
          <w:sz w:val="24"/>
          <w:sz-cs w:val="24"/>
        </w:rPr>
        <w:t xml:space="preserve">BackofficeUser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BackofficeVerificationToken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Verification token storage</w:t>
        <w:tab/>
        <w:t xml:space="preserve"> Used for backoffice verification flows.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BackofficePasswordResetToken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Backoffice password reset storage</w:t>
        <w:tab/>
        <w:t xml:space="preserve"> Stores reset token, identifier, expiry, and creation time.</w:t>
        <w:tab/>
        <w:t xml:space="preserve"> 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9. Domain: External / Client Identity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ExternalUser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Brand-scoped public/client account</w:t>
        <w:tab/>
        <w:t xml:space="preserve"> Unique by</w:t>
      </w:r>
      <w:r>
        <w:rPr>
          <w:rFonts w:ascii="Courier" w:hAnsi="Courier" w:cs="Courier"/>
          <w:sz w:val="24"/>
          <w:sz-cs w:val="24"/>
        </w:rPr>
        <w:t xml:space="preserve">(brandId, email)</w:t>
      </w:r>
      <w:r>
        <w:rPr>
          <w:rFonts w:ascii="Helvetica" w:hAnsi="Helvetica" w:cs="Helvetica"/>
          <w:sz w:val="24"/>
          <w:sz-cs w:val="24"/>
        </w:rPr>
        <w:t xml:space="preserve">; optional legacy user link; owns sessions, accounts, and login events.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ExternalAccount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External auth provider linkage</w:t>
        <w:tab/>
        <w:t xml:space="preserve"> Unique by</w:t>
      </w:r>
      <w:r>
        <w:rPr>
          <w:rFonts w:ascii="Courier" w:hAnsi="Courier" w:cs="Courier"/>
          <w:sz w:val="24"/>
          <w:sz-cs w:val="24"/>
        </w:rPr>
        <w:t xml:space="preserve">(brandId, provider, providerAccountId)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ExternalSession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External session storage</w:t>
        <w:tab/>
        <w:t xml:space="preserve"> Opaque session tokens used by the BFF/public-api model.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ExternalLoginEvent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External login audit/history</w:t>
        <w:tab/>
        <w:t xml:space="preserve"> Captures brand-scoped IP, country, user agent, and timestamp.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ExternalVerificationToken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Brand-scoped verification token</w:t>
        <w:tab/>
        <w:t xml:space="preserve"> Unique by</w:t>
      </w:r>
      <w:r>
        <w:rPr>
          <w:rFonts w:ascii="Courier" w:hAnsi="Courier" w:cs="Courier"/>
          <w:sz w:val="24"/>
          <w:sz-cs w:val="24"/>
        </w:rPr>
        <w:t xml:space="preserve">(brandId, identifier, token)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ExternalEmailVerificationToken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Brand-scoped email verification token</w:t>
        <w:tab/>
        <w:t xml:space="preserve"> Indexed by brand and identifier.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ExternalPasswordResetToken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Brand-scoped password reset token</w:t>
        <w:tab/>
        <w:t xml:space="preserve"> Indexed by brand and identifier and includes creation time.</w:t>
        <w:tab/>
        <w:t xml:space="preserve"> 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10. Domain: Content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Category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Prompt category table</w:t>
        <w:tab/>
        <w:t xml:space="preserve"> Brand-scoped uniqueness on</w:t>
      </w:r>
      <w:r>
        <w:rPr>
          <w:rFonts w:ascii="Courier" w:hAnsi="Courier" w:cs="Courier"/>
          <w:sz w:val="24"/>
          <w:sz-cs w:val="24"/>
        </w:rPr>
        <w:t xml:space="preserve">(brandId, name)</w:t>
      </w:r>
      <w:r>
        <w:rPr>
          <w:rFonts w:ascii="Helvetica" w:hAnsi="Helvetica" w:cs="Helvetica"/>
          <w:sz w:val="24"/>
          <w:sz-cs w:val="24"/>
        </w:rPr>
        <w:t xml:space="preserve">and</w:t>
      </w:r>
      <w:r>
        <w:rPr>
          <w:rFonts w:ascii="Courier" w:hAnsi="Courier" w:cs="Courier"/>
          <w:sz w:val="24"/>
          <w:sz-cs w:val="24"/>
        </w:rPr>
        <w:t xml:space="preserve">(brandId, slug)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Prompt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Prompt library content</w:t>
        <w:tab/>
        <w:t xml:space="preserve"> Stores title, description, content, publish status, sort order, tags, and optional brand/category links.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ArticleCategory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Guide/article category table</w:t>
        <w:tab/>
        <w:t xml:space="preserve"> Brand-scoped uniqueness on name and slug, parallel to prompt categories.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Article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Guide/article content table</w:t>
        <w:tab/>
        <w:t xml:space="preserve"> Stores title, slug, summary, content, publish status, tags, and optional brand/category links.</w:t>
      </w:r>
      <w:r>
        <w:rPr>
          <w:rFonts w:ascii="Courier" w:hAnsi="Courier" w:cs="Courier"/>
          <w:sz w:val="24"/>
          <w:sz-cs w:val="24"/>
        </w:rPr>
        <w:t xml:space="preserve">(brandId, slug)</w:t>
      </w:r>
      <w:r>
        <w:rPr>
          <w:rFonts w:ascii="Helvetica" w:hAnsi="Helvetica" w:cs="Helvetica"/>
          <w:sz w:val="24"/>
          <w:sz-cs w:val="24"/>
        </w:rPr>
        <w:t xml:space="preserve">is unique.</w:t>
        <w:tab/>
        <w:t xml:space="preserve"> </w:t>
      </w:r>
    </w:p>
    <w:p>
      <w:pPr/>
      <w:r>
        <w:rPr>
          <w:rFonts w:ascii="Helvetica" w:hAnsi="Helvetica" w:cs="Helvetica"/>
          <w:sz w:val="24"/>
          <w:sz-cs w:val="24"/>
        </w:rPr>
        <w:t xml:space="preserve">Important content rule: categories and article categories are</w:t>
      </w:r>
      <w:r>
        <w:rPr>
          <w:rFonts w:ascii="Helvetica" w:hAnsi="Helvetica" w:cs="Helvetica"/>
          <w:sz w:val="24"/>
          <w:sz-cs w:val="24"/>
          <w:b/>
        </w:rPr>
        <w:t xml:space="preserve">brand-scoped</w:t>
      </w:r>
      <w:r>
        <w:rPr>
          <w:rFonts w:ascii="Helvetica" w:hAnsi="Helvetica" w:cs="Helvetica"/>
          <w:sz w:val="24"/>
          <w:sz-cs w:val="24"/>
        </w:rPr>
        <w:t xml:space="preserve">, which means the same category name can be reused in different brands without collision.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11. Domain: Leads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Table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Purpose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Key Relationships / Notes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Lead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Durable lead summary row</w:t>
        <w:tab/>
        <w:t xml:space="preserve"> Optional brand scope; stores source, name, email, IP, and raw payload.</w:t>
        <w:tab/>
        <w:t xml:space="preserve"> </w:t>
      </w:r>
    </w:p>
    <w:p>
      <w:pPr/>
      <w:r>
        <w:rPr>
          <w:rFonts w:ascii="Courier" w:hAnsi="Courier" w:cs="Courier"/>
          <w:sz w:val="24"/>
          <w:sz-cs w:val="24"/>
        </w:rPr>
        <w:t xml:space="preserve">LeadEvent</w:t>
      </w:r>
      <w:r>
        <w:rPr>
          <w:rFonts w:ascii="Helvetica" w:hAnsi="Helvetica" w:cs="Helvetica"/>
          <w:sz w:val="24"/>
          <w:sz-cs w:val="24"/>
        </w:rPr>
        <w:t xml:space="preserve"/>
        <w:tab/>
        <w:t xml:space="preserve"> Append-only lead event stream</w:t>
        <w:tab/>
        <w:t xml:space="preserve"> Source of truth for lead analytics and lead history; may optionally link back to</w:t>
      </w:r>
      <w:r>
        <w:rPr>
          <w:rFonts w:ascii="Courier" w:hAnsi="Courier" w:cs="Courier"/>
          <w:sz w:val="24"/>
          <w:sz-cs w:val="24"/>
        </w:rPr>
        <w:t xml:space="preserve">Lead</w:t>
      </w:r>
      <w:r>
        <w:rPr>
          <w:rFonts w:ascii="Helvetica" w:hAnsi="Helvetica" w:cs="Helvetica"/>
          <w:sz w:val="24"/>
          <w:sz-cs w:val="24"/>
        </w:rPr>
        <w:t xml:space="preserve">.</w:t>
        <w:tab/>
        <w:t xml:space="preserve"> </w:t>
      </w:r>
    </w:p>
    <w:p>
      <w:pPr/>
      <w:r>
        <w:rPr>
          <w:rFonts w:ascii="Helvetica" w:hAnsi="Helvetica" w:cs="Helvetica"/>
          <w:sz w:val="24"/>
          <w:sz-cs w:val="24"/>
        </w:rPr>
        <w:t xml:space="preserve">The code treats</w:t>
      </w:r>
      <w:r>
        <w:rPr>
          <w:rFonts w:ascii="Courier" w:hAnsi="Courier" w:cs="Courier"/>
          <w:sz w:val="24"/>
          <w:sz-cs w:val="24"/>
        </w:rPr>
        <w:t xml:space="preserve">LeadEvent</w:t>
      </w:r>
      <w:r>
        <w:rPr>
          <w:rFonts w:ascii="Helvetica" w:hAnsi="Helvetica" w:cs="Helvetica"/>
          <w:sz w:val="24"/>
          <w:sz-cs w:val="24"/>
        </w:rPr>
        <w:t xml:space="preserve">as the analytics source of truth. Dashboard and analytics counts are derived from event data rather than simple raw-event totals.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12. Relationship Notes By Feature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InstallProfile â†’ Brand:</w:t>
      </w:r>
      <w:r>
        <w:rPr>
          <w:rFonts w:ascii="Helvetica" w:hAnsi="Helvetica" w:cs="Helvetica"/>
          <w:sz w:val="24"/>
          <w:sz-cs w:val="24"/>
        </w:rPr>
        <w:t xml:space="preserve">the install can point to one primary brand but brands remain independent runtime records.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Brand â†’ Host mapping:</w:t>
      </w:r>
      <w:r>
        <w:rPr>
          <w:rFonts w:ascii="Helvetica" w:hAnsi="Helvetica" w:cs="Helvetica"/>
          <w:sz w:val="24"/>
          <w:sz-cs w:val="24"/>
        </w:rPr>
        <w:t xml:space="preserve">each brand can own multiple hosts, separated by environment and host kind.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Brand â†’ Scheduling:</w:t>
      </w:r>
      <w:r>
        <w:rPr>
          <w:rFonts w:ascii="Helvetica" w:hAnsi="Helvetica" w:cs="Helvetica"/>
          <w:sz w:val="24"/>
          <w:sz-cs w:val="24"/>
        </w:rPr>
        <w:t xml:space="preserve">series, occurrences, resources, participants, and assignments all remain brand-scoped.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ScheduleEventSeries â†’ ScheduleEventOccurrence:</w:t>
      </w:r>
      <w:r>
        <w:rPr>
          <w:rFonts w:ascii="Helvetica" w:hAnsi="Helvetica" w:cs="Helvetica"/>
          <w:sz w:val="24"/>
          <w:sz-cs w:val="24"/>
        </w:rPr>
        <w:t xml:space="preserve">one-to-many, with explicit materialized occurrences for recurrence safety.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ScheduleEventOccurrence / ScheduleResource / ScheduleParticipant â†’ ScheduleAssignment:</w:t>
      </w:r>
      <w:r>
        <w:rPr>
          <w:rFonts w:ascii="Helvetica" w:hAnsi="Helvetica" w:cs="Helvetica"/>
          <w:sz w:val="24"/>
          <w:sz-cs w:val="24"/>
        </w:rPr>
        <w:t xml:space="preserve">assignments are the concrete join point for scheduled behavior.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BackofficeUser â†” Brand:</w:t>
      </w:r>
      <w:r>
        <w:rPr>
          <w:rFonts w:ascii="Helvetica" w:hAnsi="Helvetica" w:cs="Helvetica"/>
          <w:sz w:val="24"/>
          <w:sz-cs w:val="24"/>
        </w:rPr>
        <w:t xml:space="preserve">staff access is many-to-many through</w:t>
      </w:r>
      <w:r>
        <w:rPr>
          <w:rFonts w:ascii="Courier" w:hAnsi="Courier" w:cs="Courier"/>
          <w:sz w:val="24"/>
          <w:sz-cs w:val="24"/>
        </w:rPr>
        <w:t xml:space="preserve">BackofficeUserBrandAccess</w:t>
      </w:r>
      <w:r>
        <w:rPr>
          <w:rFonts w:ascii="Helvetica" w:hAnsi="Helvetica" w:cs="Helvetica"/>
          <w:sz w:val="24"/>
          <w:sz-cs w:val="24"/>
        </w:rPr>
        <w:t xml:space="preserve">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Brand â†’ External users:</w:t>
      </w:r>
      <w:r>
        <w:rPr>
          <w:rFonts w:ascii="Helvetica" w:hAnsi="Helvetica" w:cs="Helvetica"/>
          <w:sz w:val="24"/>
          <w:sz-cs w:val="24"/>
        </w:rPr>
        <w:t xml:space="preserve">public/client accounts are directly brand-scoped.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Prompt / Article content:</w:t>
      </w:r>
      <w:r>
        <w:rPr>
          <w:rFonts w:ascii="Helvetica" w:hAnsi="Helvetica" w:cs="Helvetica"/>
          <w:sz w:val="24"/>
          <w:sz-cs w:val="24"/>
        </w:rPr>
        <w:t xml:space="preserve">both can optionally be unscoped at the schema level, but the backoffice is built around brand-scoped management.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Helvetica" w:hAnsi="Helvetica" w:cs="Helvetica"/>
          <w:sz w:val="24"/>
          <w:sz-cs w:val="24"/>
          <w:b/>
        </w:rPr>
        <w:t xml:space="preserve">LeadEvent â†’ Lead:</w:t>
      </w:r>
      <w:r>
        <w:rPr>
          <w:rFonts w:ascii="Helvetica" w:hAnsi="Helvetica" w:cs="Helvetica"/>
          <w:sz w:val="24"/>
          <w:sz-cs w:val="24"/>
        </w:rPr>
        <w:t xml:space="preserve">lead events may point to a durable lead row when one exists, but analytics still read the event stream.</w:t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13. Practical Hierarchy Summary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Courier" w:hAnsi="Courier" w:cs="Courier"/>
          <w:sz w:val="24"/>
          <w:sz-cs w:val="24"/>
        </w:rPr>
        <w:t xml:space="preserve">InstallProfile</w:t>
        <w:br/>
        <w:t xml:space="preserve"/>
        <w:br/>
        <w:t xml:space="preserve">Brand</w:t>
        <w:br/>
        <w:t xml:space="preserve">  â”œâ”€ BrandHost</w:t>
        <w:br/>
        <w:t xml:space="preserve">  â”œâ”€ BrandEmailConfig</w:t>
        <w:br/>
        <w:t xml:space="preserve">  â”œâ”€ ScheduleEventSeries</w:t>
        <w:br/>
        <w:t xml:space="preserve">  â”‚   â””â”€ ScheduleEventOccurrence</w:t>
        <w:br/>
        <w:t xml:space="preserve">  â”‚       â””â”€ ScheduleAssignment</w:t>
        <w:br/>
        <w:t xml:space="preserve">  â”œâ”€ ScheduleResource</w:t>
        <w:br/>
        <w:t xml:space="preserve">  â”‚   â””â”€ ScheduleAssignment</w:t>
        <w:br/>
        <w:t xml:space="preserve">  â”œâ”€ ScheduleParticipant</w:t>
        <w:br/>
        <w:t xml:space="preserve">  â”‚   â””â”€ ScheduleAssignment</w:t>
        <w:br/>
        <w:t xml:space="preserve">  â”œâ”€ BackofficeUserBrandAccess</w:t>
        <w:br/>
        <w:t xml:space="preserve">  â”œâ”€ ExternalUser</w:t>
        <w:br/>
        <w:t xml:space="preserve">  â”‚   â”œâ”€ ExternalAccount</w:t>
        <w:br/>
        <w:t xml:space="preserve">  â”‚   â”œâ”€ ExternalSession</w:t>
        <w:br/>
        <w:t xml:space="preserve">  â”‚   â””â”€ ExternalLoginEvent</w:t>
        <w:br/>
        <w:t xml:space="preserve">  â”œâ”€ ExternalVerificationToken / ExternalEmailVerificationToken / ExternalPasswordResetToken</w:t>
        <w:br/>
        <w:t xml:space="preserve">  â”œâ”€ Category</w:t>
        <w:br/>
        <w:t xml:space="preserve">  â”‚   â””â”€ Prompt</w:t>
        <w:br/>
        <w:t xml:space="preserve">  â”œâ”€ ArticleCategory</w:t>
        <w:br/>
        <w:t xml:space="preserve">  â”‚   â””â”€ Article</w:t>
        <w:br/>
        <w:t xml:space="preserve">  â”œâ”€ Lead</w:t>
        <w:br/>
        <w:t xml:space="preserve">  â”‚   â””â”€ LeadEvent</w:t>
        <w:br/>
        <w:t xml:space="preserve">  â””â”€ LeadEvent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30"/>
          <w:sz-cs w:val="30"/>
          <w:b/>
        </w:rPr>
        <w:t xml:space="preserve">14. Review Notes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The schema still contains legacy user/auth tables alongside newer backoffice and external identity domains.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The public-api contract depends on the external identity, brand, content, lead, and scheduling parts of this schema.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The scheduling domain is intentionally phase-1 shaped: it supports approved/schedulable entities now, while future application-review linkage is deferred.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 </w:t>
      </w:r>
      <w:r>
        <w:rPr>
          <w:rFonts w:ascii="Courier" w:hAnsi="Courier" w:cs="Courier"/>
          <w:sz w:val="24"/>
          <w:sz-cs w:val="24"/>
        </w:rPr>
        <w:t xml:space="preserve">InstallProfile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