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00"/>
      </w:pPr>
      <w:r>
        <w:rPr>
          <w:rFonts w:ascii="Helvetica" w:hAnsi="Helvetica" w:cs="Helvetica"/>
          <w:sz w:val="24"/>
          <w:sz-cs w:val="24"/>
        </w:rPr>
        <w:t xml:space="preserve">Command DB Schema Guide body { font-family: "Helvetica Neue", Arial, sans-serif; color: #111827; margin: 42px; line-height: 1.55; font-size: 12pt; } h1 { font-size: 26pt; margin: 0 0 8px 0; color: #7f1d1d; } h2 { font-size: 17pt; margin: 26px 0 8px 0; color: #111827; border-bottom: 1px solid #d1d5db; padding-bottom: 4px; } h3 { font-size: 13pt; margin: 18px 0 6px 0; color: #111827; } p, li { margin: 0 0 8px 0; } ul { margin: 8px 0 12px 22px; padding: 0; } table { width: 100%; border-collapse: collapse; margin: 12px 0 18px 0; } th, td { border: 1px solid #d1d5db; padding: 8px 10px; vertical-align: top; text-align: left; } th { background: #f3f4f6; font-weight: 700; } code { font-family: "SFMono-Regular", Menlo, monospace; background: #f3f4f6; padding: 1px 4px; } .meta td:first-child { width: 180px; font-weight: 700; background: #f9fafb; } .note { background: #f8fafc; border: 1px solid #cbd5e1; padding: 12px 14px; margin: 14px 0; } .warning { background: #fff7ed; border: 1px solid #fdba74; padding: 12px 14px; margin: 14px 0; } .small { color: #4b5563; font-size: 10.5pt; }</w:t>
      </w:r>
    </w:p>
    <w:p>
      <w:pPr>
        <w:spacing w:after="240"/>
      </w:pPr>
      <w:r>
        <w:rPr>
          <w:rFonts w:ascii="Helvetica" w:hAnsi="Helvetica" w:cs="Helvetica"/>
          <w:sz w:val="34"/>
          <w:sz-cs w:val="34"/>
          <w:b/>
        </w:rPr>
        <w:t xml:space="preserve">X Dragon Command Back Office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Audience | Technical reviewers, operators, and developers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Purpose | Summarize the current Prisma schema, describe the tables by feature domain, and explain the main data relationships and hierarchy.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Schema Source | prisma/schema.prisma at commit b13028c</w:t>
      </w:r>
    </w:p>
    <w:p>
      <w:pPr>
        <w:spacing w:after="100"/>
      </w:pPr>
      <w:r>
        <w:rPr>
          <w:rFonts w:ascii="Helvetica" w:hAnsi="Helvetica" w:cs="Helvetica"/>
          <w:sz w:val="24"/>
          <w:sz-cs w:val="24"/>
        </w:rPr>
        <w:t xml:space="preserve">DB Schema Guide ```` This schema guide reflects the current checked-out schema only. Scheduling/calendar tables discussed in later planning are not present in this snapshot.</w:t>
      </w:r>
    </w:p>
    <w:p>
      <w:pPr>
        <w:spacing w:after="180"/>
      </w:pPr>
      <w:r>
        <w:rPr>
          <w:rFonts w:ascii="Helvetica" w:hAnsi="Helvetica" w:cs="Helvetica"/>
          <w:sz w:val="28"/>
          <w:sz-cs w:val="28"/>
          <w:b/>
        </w:rPr>
        <w:t xml:space="preserve">1. Schema Overview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00"/>
      </w:pPr>
      <w:r>
        <w:rPr>
          <w:rFonts w:ascii="Helvetica" w:hAnsi="Helvetica" w:cs="Helvetica"/>
          <w:sz w:val="24"/>
          <w:sz-cs w:val="24"/>
        </w:rPr>
        <w:t xml:space="preserve">The schema is organized around six main domains:</w:t>
      </w:r>
    </w:p>
    <w:p>
      <w:pPr>
        <w:ind w:left="720" w:first-line="-360"/>
        <w:spacing w:after="60"/>
      </w:pPr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Legacy user/auth tables</w:t>
      </w:r>
    </w:p>
    <w:p>
      <w:pPr>
        <w:ind w:left="720" w:first-line="-360"/>
        <w:spacing w:after="60"/>
      </w:pPr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Brand and runtime configuration</w:t>
      </w:r>
    </w:p>
    <w:p>
      <w:pPr>
        <w:ind w:left="720" w:first-line="-360"/>
        <w:spacing w:after="60"/>
      </w:pPr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Backoffice operator identity</w:t>
      </w:r>
    </w:p>
    <w:p>
      <w:pPr>
        <w:ind w:left="720" w:first-line="-360"/>
        <w:spacing w:after="60"/>
      </w:pPr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External/client identity</w:t>
      </w:r>
    </w:p>
    <w:p>
      <w:pPr>
        <w:ind w:left="720" w:first-line="-360"/>
        <w:spacing w:after="60"/>
      </w:pPr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Content (prompts and guides)</w:t>
      </w:r>
    </w:p>
    <w:p>
      <w:pPr>
        <w:ind w:left="720" w:first-line="-360"/>
        <w:spacing w:after="60"/>
      </w:pPr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Leads and lead events</w:t>
      </w:r>
    </w:p>
    <w:p>
      <w:pPr>
        <w:spacing w:after="100"/>
      </w:pPr>
      <w:r>
        <w:rPr>
          <w:rFonts w:ascii="Helvetica" w:hAnsi="Helvetica" w:cs="Helvetica"/>
          <w:sz w:val="24"/>
          <w:sz-cs w:val="24"/>
        </w:rPr>
        <w:t xml:space="preserve">The most important structural rule in this schema is brand scoping. Many operational tables are anchored under `Brand`, which is the installation’s primary tenant/context boundary.</w:t>
      </w:r>
    </w:p>
    <w:p>
      <w:pPr>
        <w:spacing w:after="180"/>
      </w:pPr>
      <w:r>
        <w:rPr>
          <w:rFonts w:ascii="Helvetica" w:hAnsi="Helvetica" w:cs="Helvetica"/>
          <w:sz w:val="28"/>
          <w:sz-cs w:val="28"/>
          <w:b/>
        </w:rPr>
        <w:t xml:space="preserve">2. Core Enums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Enum | Values | Used For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BrandStatus | SETUP_PENDING, ACTIVE, DISABLED | Brand lifecycle and runtime readiness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BrandEnvironment | PRODUCTION, PREVIEW | Host mapping by environment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BrandHostKind | PUBLIC, ADMIN, APEX, ALIAS | Brand hostname types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BrandEmailConfigStatus | ACTIVE, INACTIVE | Brand email readiness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BrandEmailProvider | RESEND | Current supported brand email provider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BackofficeRole | SUPERADMIN, STAFF | Backoffice operator authorization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BackofficeUserStatus | ACTIVE, BLOCKED | Backoffice sign-in status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BackofficeMfaMethod | AUTHENTICATOR_APP | Backoffice MFA method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ExternalUserStatus | ACTIVE, BLOCKED | Public/client account status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PromptStatus | DRAFT, PUBLISHED, ARCHIVED | Prompt and guide/article publishing state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LeadSource | CONTACT, CHAT | Lead origin</w:t>
      </w:r>
    </w:p>
    <w:p>
      <w:pPr>
        <w:spacing w:after="100"/>
      </w:pPr>
      <w:r>
        <w:rPr>
          <w:rFonts w:ascii="Helvetica" w:hAnsi="Helvetica" w:cs="Helvetica"/>
          <w:sz w:val="24"/>
          <w:sz-cs w:val="24"/>
        </w:rPr>
        <w:t xml:space="preserve">`` `` `` `` `` `` `` `` `` `` ``</w:t>
      </w:r>
    </w:p>
    <w:p>
      <w:pPr>
        <w:spacing w:after="180"/>
      </w:pPr>
      <w:r>
        <w:rPr>
          <w:rFonts w:ascii="Helvetica" w:hAnsi="Helvetica" w:cs="Helvetica"/>
          <w:sz w:val="28"/>
          <w:sz-cs w:val="28"/>
          <w:b/>
        </w:rPr>
        <w:t xml:space="preserve">3. Data Hierarchy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720" w:first-line="-360"/>
        <w:spacing w:after="60"/>
      </w:pPr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Install-wide identity: legacy `User` tables and backoffice operator tables</w:t>
      </w:r>
    </w:p>
    <w:p>
      <w:pPr>
        <w:ind w:left="720" w:first-line="-360"/>
        <w:spacing w:after="60"/>
      </w:pPr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Brand sits at the center of runtime configuration and brand-scoped operational data</w:t>
      </w:r>
    </w:p>
    <w:p>
      <w:pPr>
        <w:ind w:left="720" w:first-line="-360"/>
        <w:spacing w:after="60"/>
      </w:pPr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Backoffice users gain brand access through the join table `BackofficeUserBrandAccess`</w:t>
      </w:r>
    </w:p>
    <w:p>
      <w:pPr>
        <w:ind w:left="720" w:first-line="-360"/>
        <w:spacing w:after="60"/>
      </w:pPr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External users are directly brand-scoped</w:t>
      </w:r>
    </w:p>
    <w:p>
      <w:pPr>
        <w:ind w:left="720" w:first-line="-360"/>
        <w:spacing w:after="60"/>
      </w:pPr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Prompts, guides, guide categories, leads, and lead events can all be brand-scoped</w:t>
      </w:r>
    </w:p>
    <w:p>
      <w:pPr>
        <w:spacing w:after="180"/>
      </w:pPr>
      <w:r>
        <w:rPr>
          <w:rFonts w:ascii="Helvetica" w:hAnsi="Helvetica" w:cs="Helvetica"/>
          <w:sz w:val="28"/>
          <w:sz-cs w:val="28"/>
          <w:b/>
        </w:rPr>
        <w:t xml:space="preserve">4. Domain: Legacy Auth And User Tables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Table | Purpose | Key Relationships / Notes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User | Legacy user table still present in the shared schema | Owns Account, Session, LoginEvent, and optional links to ExternalUser.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Account | Legacy auth provider linkage | Standard provider/account identifier pair tied to User.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Session | Legacy user session records | Session token + expiry for User.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EmailVerificationToken | Email verification token storage | Token and expiry keyed by identifier.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VerificationToken | General verification token storage | Unique by (identifier, token).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PasswordResetToken | Legacy password reset flow | Stores the hashed token, not the raw token.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LoginEvent | Legacy login audit/history | Captures IP, optional country, user agent, and timestamp.</w:t>
      </w:r>
    </w:p>
    <w:p>
      <w:pPr>
        <w:spacing w:after="100"/>
      </w:pPr>
      <w:r>
        <w:rPr>
          <w:rFonts w:ascii="Helvetica" w:hAnsi="Helvetica" w:cs="Helvetica"/>
          <w:sz w:val="24"/>
          <w:sz-cs w:val="24"/>
        </w:rPr>
        <w:t xml:space="preserve">`````````` ```` ```` `` ```` `` ``</w:t>
      </w:r>
    </w:p>
    <w:p>
      <w:pPr>
        <w:spacing w:after="180"/>
      </w:pPr>
      <w:r>
        <w:rPr>
          <w:rFonts w:ascii="Helvetica" w:hAnsi="Helvetica" w:cs="Helvetica"/>
          <w:sz w:val="28"/>
          <w:sz-cs w:val="28"/>
          <w:b/>
        </w:rPr>
        <w:t xml:space="preserve">5. Domain: Brand And Runtime Configuration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Table | Purpose | Key Relationships / Notes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Brand | Top-level brand/tenant record | Parent for hosts, email config, content, leads, staff access, and external identities.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BrandHost | Host routing map for a brand | Stores host, environment, kind, and canonical flag. Host value is globally unique.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BrandEmailConfig | Brand email settings | One-to-one with Brand; stores provider, status, from/reply/support addresses, and provider secret reference.</w:t>
      </w:r>
    </w:p>
    <w:p>
      <w:pPr>
        <w:spacing w:after="100"/>
      </w:pPr>
      <w:r>
        <w:rPr>
          <w:rFonts w:ascii="Helvetica" w:hAnsi="Helvetica" w:cs="Helvetica"/>
          <w:sz w:val="24"/>
          <w:sz-cs w:val="24"/>
        </w:rPr>
        <w:t xml:space="preserve">`` `` ````</w:t>
      </w:r>
    </w:p>
    <w:p>
      <w:pPr>
        <w:spacing w:after="180"/>
      </w:pPr>
      <w:r>
        <w:rPr>
          <w:rFonts w:ascii="Helvetica" w:hAnsi="Helvetica" w:cs="Helvetica"/>
          <w:sz w:val="28"/>
          <w:sz-cs w:val="28"/>
          <w:b/>
        </w:rPr>
        <w:t xml:space="preserve">6. Domain: Backoffice Identity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Table | Purpose | Key Relationships / Notes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BackofficeUser | Primary operator account table | Stores username, optional email, password hash, role, status, MFA data, and last selected brand key.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BackofficeUserBrandAccess | Brand access join table | Composite primary key (userId, brandId); grants staff brand scope.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BackofficeAccount | Backoffice auth provider linkage | Provider/account table for backoffice identities.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BackofficeSession | Backoffice session table | Stores session tokens and expiry for BackofficeUser.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BackofficeVerificationToken | Verification token storage | Used for backoffice verification flows.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BackofficePasswordResetToken | Backoffice password reset storage | Stores reset token, identifier, expiry, and creation time.</w:t>
      </w:r>
    </w:p>
    <w:p>
      <w:pPr>
        <w:spacing w:after="100"/>
      </w:pPr>
      <w:r>
        <w:rPr>
          <w:rFonts w:ascii="Helvetica" w:hAnsi="Helvetica" w:cs="Helvetica"/>
          <w:sz w:val="24"/>
          <w:sz-cs w:val="24"/>
        </w:rPr>
        <w:t xml:space="preserve">`` ```` `` ```` `` ``</w:t>
      </w:r>
    </w:p>
    <w:p>
      <w:pPr>
        <w:spacing w:after="180"/>
      </w:pPr>
      <w:r>
        <w:rPr>
          <w:rFonts w:ascii="Helvetica" w:hAnsi="Helvetica" w:cs="Helvetica"/>
          <w:sz w:val="28"/>
          <w:sz-cs w:val="28"/>
          <w:b/>
        </w:rPr>
        <w:t xml:space="preserve">7. Domain: External / Client Identity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Table | Purpose | Key Relationships / Notes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ExternalUser | Brand-scoped public/client account | Unique by (brandId, email); optional legacy user link; owns sessions, accounts, and login events.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ExternalAccount | External auth provider linkage | Unique by (brandId, provider, providerAccountId).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ExternalSession | External session storage | Opaque session tokens used by the BFF/public-api model.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ExternalLoginEvent | External login audit/history | Captures brand-scoped IP, country, user agent, and timestamp.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ExternalVerificationToken | Brand-scoped verification token | Unique by (brandId, identifier, token).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ExternalEmailVerificationToken | Brand-scoped email verification token | Indexed by brand and identifier.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ExternalPasswordResetToken | Brand-scoped password reset token | Indexed by brand and identifier and includes creation time.</w:t>
      </w:r>
    </w:p>
    <w:p>
      <w:pPr>
        <w:spacing w:after="100"/>
      </w:pPr>
      <w:r>
        <w:rPr>
          <w:rFonts w:ascii="Helvetica" w:hAnsi="Helvetica" w:cs="Helvetica"/>
          <w:sz w:val="24"/>
          <w:sz-cs w:val="24"/>
        </w:rPr>
        <w:t xml:space="preserve">```` ```` `` `` ```` `` ``</w:t>
      </w:r>
    </w:p>
    <w:p>
      <w:pPr>
        <w:spacing w:after="180"/>
      </w:pPr>
      <w:r>
        <w:rPr>
          <w:rFonts w:ascii="Helvetica" w:hAnsi="Helvetica" w:cs="Helvetica"/>
          <w:sz w:val="28"/>
          <w:sz-cs w:val="28"/>
          <w:b/>
        </w:rPr>
        <w:t xml:space="preserve">8. Domain: Content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Table | Purpose | Key Relationships / Notes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Category | Prompt category table | Brand-scoped uniqueness on (brandId, name) and (brandId, slug).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Prompt | Prompt library content | Stores title, description, content, status, sort order, tags, and optional brand/category links.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ArticleCategory | Guide/article category table | Brand-scoped uniqueness on name and slug, parallel to prompt categories.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Article | Guide/article content table | Stores title, slug, summary, content, status, tags, and optional brand/category links. (brandId, slug) is unique.</w:t>
      </w:r>
    </w:p>
    <w:p>
      <w:pPr>
        <w:spacing w:after="100"/>
      </w:pPr>
      <w:r>
        <w:rPr>
          <w:rFonts w:ascii="Helvetica" w:hAnsi="Helvetica" w:cs="Helvetica"/>
          <w:sz w:val="24"/>
          <w:sz-cs w:val="24"/>
        </w:rPr>
        <w:t xml:space="preserve">`````` `` `` ````</w:t>
      </w:r>
    </w:p>
    <w:p>
      <w:pPr>
        <w:spacing w:after="100"/>
      </w:pPr>
      <w:r>
        <w:rPr>
          <w:rFonts w:ascii="Helvetica" w:hAnsi="Helvetica" w:cs="Helvetica"/>
          <w:sz w:val="24"/>
          <w:sz-cs w:val="24"/>
        </w:rPr>
        <w:t xml:space="preserve">Important content rule: categories and guide categories are brand-scoped, which means the same category name can be reused in different brands without collision.</w:t>
      </w:r>
    </w:p>
    <w:p>
      <w:pPr>
        <w:spacing w:after="180"/>
      </w:pPr>
      <w:r>
        <w:rPr>
          <w:rFonts w:ascii="Helvetica" w:hAnsi="Helvetica" w:cs="Helvetica"/>
          <w:sz w:val="28"/>
          <w:sz-cs w:val="28"/>
          <w:b/>
        </w:rPr>
        <w:t xml:space="preserve">9. Domain: Leads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Table | Purpose | Key Relationships / Notes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Lead | Durable lead summary row | Optional brand scope; stores source, name, email, IP, and raw payload.</w:t>
      </w:r>
    </w:p>
    <w:p>
      <w:pPr>
        <w:ind w:left="240"/>
        <w:spacing w:after="60"/>
      </w:pPr>
      <w:r>
        <w:rPr>
          <w:rFonts w:ascii="Helvetica" w:hAnsi="Helvetica" w:cs="Helvetica"/>
          <w:sz w:val="24"/>
          <w:sz-cs w:val="24"/>
        </w:rPr>
        <w:t xml:space="preserve">LeadEvent | Append-only lead event stream | Source of truth for lead analytics and lead history; may optionally link back to Lead.</w:t>
      </w:r>
    </w:p>
    <w:p>
      <w:pPr>
        <w:spacing w:after="100"/>
      </w:pPr>
      <w:r>
        <w:rPr>
          <w:rFonts w:ascii="Helvetica" w:hAnsi="Helvetica" w:cs="Helvetica"/>
          <w:sz w:val="24"/>
          <w:sz-cs w:val="24"/>
        </w:rPr>
        <w:t xml:space="preserve">`` ````</w:t>
      </w:r>
    </w:p>
    <w:p>
      <w:pPr>
        <w:spacing w:after="100"/>
      </w:pPr>
      <w:r>
        <w:rPr>
          <w:rFonts w:ascii="Helvetica" w:hAnsi="Helvetica" w:cs="Helvetica"/>
          <w:sz w:val="24"/>
          <w:sz-cs w:val="24"/>
        </w:rPr>
        <w:t xml:space="preserve">The code explicitly treats `LeadEvent` as the analytics source of truth. Dashboard and analytics counts are deduped from event data rather than simple raw-event totals.</w:t>
      </w:r>
    </w:p>
    <w:p>
      <w:pPr>
        <w:spacing w:after="180"/>
      </w:pPr>
      <w:r>
        <w:rPr>
          <w:rFonts w:ascii="Helvetica" w:hAnsi="Helvetica" w:cs="Helvetica"/>
          <w:sz w:val="28"/>
          <w:sz-cs w:val="28"/>
          <w:b/>
        </w:rPr>
        <w:t xml:space="preserve">10. Relationship Notes By Feature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720" w:first-line="-360"/>
        <w:spacing w:after="60"/>
      </w:pPr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Brand → Host mapping: each brand can own multiple hosts, separated by environment and host kind.</w:t>
      </w:r>
    </w:p>
    <w:p>
      <w:pPr>
        <w:ind w:left="720" w:first-line="-360"/>
        <w:spacing w:after="60"/>
      </w:pPr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Brand → External users: public/client accounts are directly brand-scoped.</w:t>
      </w:r>
    </w:p>
    <w:p>
      <w:pPr>
        <w:ind w:left="720" w:first-line="-360"/>
        <w:spacing w:after="60"/>
      </w:pPr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BackofficeUser ↔ Brand: staff access is many-to-many through `BackofficeUserBrandAccess`.</w:t>
      </w:r>
    </w:p>
    <w:p>
      <w:pPr>
        <w:ind w:left="720" w:first-line="-360"/>
        <w:spacing w:after="60"/>
      </w:pPr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Prompt / Article content: both can optionally be unscoped, but the backoffice UI is built around brand-scoped management.</w:t>
      </w:r>
    </w:p>
    <w:p>
      <w:pPr>
        <w:ind w:left="720" w:first-line="-360"/>
        <w:spacing w:after="60"/>
      </w:pPr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LeadEvent → Lead: lead events may point to a durable lead row when one exists, but analytics still read the event stream.</w:t>
      </w:r>
    </w:p>
    <w:p>
      <w:pPr>
        <w:spacing w:after="180"/>
      </w:pPr>
      <w:r>
        <w:rPr>
          <w:rFonts w:ascii="Helvetica" w:hAnsi="Helvetica" w:cs="Helvetica"/>
          <w:sz w:val="28"/>
          <w:sz-cs w:val="28"/>
          <w:b/>
        </w:rPr>
        <w:t xml:space="preserve">11. Practical Hierarchy Summary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60"/>
      </w:pPr>
      <w:r>
        <w:rPr>
          <w:rFonts w:ascii="Courier" w:hAnsi="Courier" w:cs="Courier"/>
          <w:sz w:val="20"/>
          <w:sz-cs w:val="20"/>
        </w:rPr>
        <w:t xml:space="preserve">Brand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60"/>
      </w:pPr>
      <w:r>
        <w:rPr>
          <w:rFonts w:ascii="Courier" w:hAnsi="Courier" w:cs="Courier"/>
          <w:sz w:val="20"/>
          <w:sz-cs w:val="20"/>
        </w:rPr>
        <w:t xml:space="preserve">  ├─ BrandHost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60"/>
      </w:pPr>
      <w:r>
        <w:rPr>
          <w:rFonts w:ascii="Courier" w:hAnsi="Courier" w:cs="Courier"/>
          <w:sz w:val="20"/>
          <w:sz-cs w:val="20"/>
        </w:rPr>
        <w:t xml:space="preserve">  ├─ BrandEmailConfig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60"/>
      </w:pPr>
      <w:r>
        <w:rPr>
          <w:rFonts w:ascii="Courier" w:hAnsi="Courier" w:cs="Courier"/>
          <w:sz w:val="20"/>
          <w:sz-cs w:val="20"/>
        </w:rPr>
        <w:t xml:space="preserve">  ├─ BackofficeUserBrandAccess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60"/>
      </w:pPr>
      <w:r>
        <w:rPr>
          <w:rFonts w:ascii="Courier" w:hAnsi="Courier" w:cs="Courier"/>
          <w:sz w:val="20"/>
          <w:sz-cs w:val="20"/>
        </w:rPr>
        <w:t xml:space="preserve">  ├─ ExternalUser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60"/>
      </w:pPr>
      <w:r>
        <w:rPr>
          <w:rFonts w:ascii="Courier" w:hAnsi="Courier" w:cs="Courier"/>
          <w:sz w:val="20"/>
          <w:sz-cs w:val="20"/>
        </w:rPr>
        <w:t xml:space="preserve">  │   ├─ ExternalAccount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60"/>
      </w:pPr>
      <w:r>
        <w:rPr>
          <w:rFonts w:ascii="Courier" w:hAnsi="Courier" w:cs="Courier"/>
          <w:sz w:val="20"/>
          <w:sz-cs w:val="20"/>
        </w:rPr>
        <w:t xml:space="preserve">  │   ├─ ExternalSession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60"/>
      </w:pPr>
      <w:r>
        <w:rPr>
          <w:rFonts w:ascii="Courier" w:hAnsi="Courier" w:cs="Courier"/>
          <w:sz w:val="20"/>
          <w:sz-cs w:val="20"/>
        </w:rPr>
        <w:t xml:space="preserve">  │   └─ ExternalLoginEvent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60"/>
      </w:pPr>
      <w:r>
        <w:rPr>
          <w:rFonts w:ascii="Courier" w:hAnsi="Courier" w:cs="Courier"/>
          <w:sz w:val="20"/>
          <w:sz-cs w:val="20"/>
        </w:rPr>
        <w:t xml:space="preserve">  ├─ ExternalVerificationToken / ExternalEmailVerificationToken / ExternalPasswordResetToken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60"/>
      </w:pPr>
      <w:r>
        <w:rPr>
          <w:rFonts w:ascii="Courier" w:hAnsi="Courier" w:cs="Courier"/>
          <w:sz w:val="20"/>
          <w:sz-cs w:val="20"/>
        </w:rPr>
        <w:t xml:space="preserve">  ├─ Category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60"/>
      </w:pPr>
      <w:r>
        <w:rPr>
          <w:rFonts w:ascii="Courier" w:hAnsi="Courier" w:cs="Courier"/>
          <w:sz w:val="20"/>
          <w:sz-cs w:val="20"/>
        </w:rPr>
        <w:t xml:space="preserve">  │   └─ Prompt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60"/>
      </w:pPr>
      <w:r>
        <w:rPr>
          <w:rFonts w:ascii="Courier" w:hAnsi="Courier" w:cs="Courier"/>
          <w:sz w:val="20"/>
          <w:sz-cs w:val="20"/>
        </w:rPr>
        <w:t xml:space="preserve">  ├─ ArticleCategory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60"/>
      </w:pPr>
      <w:r>
        <w:rPr>
          <w:rFonts w:ascii="Courier" w:hAnsi="Courier" w:cs="Courier"/>
          <w:sz w:val="20"/>
          <w:sz-cs w:val="20"/>
        </w:rPr>
        <w:t xml:space="preserve">  │   └─ Article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60"/>
      </w:pPr>
      <w:r>
        <w:rPr>
          <w:rFonts w:ascii="Courier" w:hAnsi="Courier" w:cs="Courier"/>
          <w:sz w:val="20"/>
          <w:sz-cs w:val="20"/>
        </w:rPr>
        <w:t xml:space="preserve">  ├─ Lead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60"/>
      </w:pPr>
      <w:r>
        <w:rPr>
          <w:rFonts w:ascii="Courier" w:hAnsi="Courier" w:cs="Courier"/>
          <w:sz w:val="20"/>
          <w:sz-cs w:val="20"/>
        </w:rPr>
        <w:t xml:space="preserve">  │   └─ LeadEvent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360"/>
        <w:spacing w:after="60"/>
      </w:pPr>
      <w:r>
        <w:rPr>
          <w:rFonts w:ascii="Courier" w:hAnsi="Courier" w:cs="Courier"/>
          <w:sz w:val="20"/>
          <w:sz-cs w:val="20"/>
        </w:rPr>
        <w:t xml:space="preserve">  └─ LeadEvent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spacing w:after="180"/>
      </w:pPr>
      <w:r>
        <w:rPr>
          <w:rFonts w:ascii="Helvetica" w:hAnsi="Helvetica" w:cs="Helvetica"/>
          <w:sz w:val="28"/>
          <w:sz-cs w:val="28"/>
          <w:b/>
        </w:rPr>
        <w:t xml:space="preserve">12. Review Notes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720" w:first-line="-360"/>
        <w:spacing w:after="60"/>
      </w:pPr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The schema still contains legacy user/auth tables alongside newer backoffice and external identity domains.</w:t>
      </w:r>
    </w:p>
    <w:p>
      <w:pPr>
        <w:ind w:left="720" w:first-line="-360"/>
        <w:spacing w:after="60"/>
      </w:pPr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The public-api contract assumes external identity and brand-scoped resources from this schema.</w:t>
      </w:r>
    </w:p>
    <w:p>
      <w:pPr>
        <w:ind w:left="720" w:first-line="-360"/>
        <w:spacing w:after="60"/>
      </w:pPr>
      <w:r>
        <w:rPr>
          <w:rFonts w:ascii="Helvetica" w:hAnsi="Helvetica" w:cs="Helvetica"/>
          <w:sz w:val="24"/>
          <w:sz-cs w:val="24"/>
        </w:rPr>
        <w:t xml:space="preserve">•</w:t>
        <w:tab/>
        <w:t xml:space="preserve">No scheduling/calendar schema exists in this branch, so seeded scheduling smoke work cannot be validated against this snapshot alone.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