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56"/>
        </w:rPr>
        <w:t>构成主义与软件设计</w:t>
      </w:r>
    </w:p>
    <w:p>
      <w:pPr>
        <w:jc w:val="center"/>
      </w:pPr>
      <w:r>
        <w:rPr>
          <w:rFonts w:ascii="Microsoft YaHei" w:hAnsi="Microsoft YaHei" w:eastAsia="Microsoft YaHei"/>
          <w:sz w:val="32"/>
        </w:rPr>
        <w:t>艺术风格在数字时代的传承与实践</w:t>
      </w:r>
    </w:p>
    <w:p/>
    <w:p/>
    <w:p>
      <w:pPr>
        <w:jc w:val="center"/>
      </w:pPr>
      <w:r>
        <w:rPr>
          <w:sz w:val="24"/>
        </w:rPr>
        <w:t>2026年1月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sz w:val="36"/>
        </w:rPr>
        <w:t>目录</w:t>
      </w:r>
    </w:p>
    <w:p>
      <w:pPr>
        <w:pStyle w:val="ListNumber"/>
        <w:ind w:left="720"/>
      </w:pPr>
      <w:r>
        <w:t>第一章 构成主义起源与数字传承</w:t>
      </w:r>
    </w:p>
    <w:p>
      <w:pPr>
        <w:pStyle w:val="ListNumber"/>
        <w:ind w:left="720"/>
      </w:pPr>
      <w:r>
        <w:t>第二章 核心设计语言解析</w:t>
      </w:r>
    </w:p>
    <w:p>
      <w:pPr>
        <w:pStyle w:val="ListNumber"/>
        <w:ind w:left="720"/>
      </w:pPr>
      <w:r>
        <w:t>第三章 现代软件界面中的构成主义</w:t>
      </w:r>
    </w:p>
    <w:p>
      <w:pPr>
        <w:pStyle w:val="ListNumber"/>
        <w:ind w:left="720"/>
      </w:pPr>
      <w:r>
        <w:t>第四章 深度案例研究</w:t>
      </w:r>
    </w:p>
    <w:p>
      <w:pPr>
        <w:pStyle w:val="ListNumber"/>
        <w:ind w:left="720"/>
      </w:pPr>
      <w:r>
        <w:t>第五章 构成主义设计方法论</w:t>
      </w:r>
    </w:p>
    <w:p>
      <w:pPr>
        <w:pStyle w:val="ListNumber"/>
        <w:ind w:left="720"/>
      </w:pPr>
      <w:r>
        <w:t>参考文献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