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eastAsia="黑体"/>
          <w:rFonts w:ascii="黑体" w:hAnsi="黑体"/>
          <w:b/>
          <w:sz w:val="44"/>
        </w:rPr>
        <w:t>单基站天线方向图未知</w:t>
      </w:r>
    </w:p>
    <w:p>
      <w:pPr>
        <w:jc w:val="center"/>
      </w:pPr>
      <w:r>
        <w:rPr>
          <w:rFonts w:eastAsia="黑体"/>
          <w:rFonts w:ascii="黑体" w:hAnsi="黑体"/>
          <w:b/>
          <w:sz w:val="44"/>
        </w:rPr>
        <w:t>定位研究报告</w:t>
      </w:r>
    </w:p>
    <w:p/>
    <w:p/>
    <w:p>
      <w:pPr>
        <w:jc w:val="center"/>
      </w:pPr>
      <w:r>
        <w:rPr>
          <w:rFonts w:eastAsia="宋体"/>
          <w:rFonts w:ascii="宋体" w:hAnsi="宋体"/>
          <w:b w:val="0"/>
          <w:sz w:val="28"/>
        </w:rPr>
        <w:t>2025年</w:t>
      </w:r>
    </w:p>
    <w:p>
      <w:r>
        <w:br w:type="page"/>
      </w:r>
    </w:p>
    <w:p>
      <w:pPr>
        <w:jc w:val="center"/>
      </w:pPr>
      <w:r>
        <w:rPr>
          <w:rFonts w:eastAsia="黑体"/>
          <w:rFonts w:ascii="黑体" w:hAnsi="黑体"/>
          <w:b/>
          <w:sz w:val="32"/>
        </w:rPr>
        <w:t>目  录</w:t>
      </w:r>
    </w:p>
    <w:p/>
    <w:p>
      <w:r>
        <w:rPr>
          <w:rFonts w:eastAsia="宋体"/>
          <w:rFonts w:ascii="宋体" w:hAnsi="宋体"/>
          <w:b w:val="0"/>
          <w:sz w:val="24"/>
        </w:rPr>
        <w:t>1. 核心问题：方向图的重要性</w:t>
      </w:r>
    </w:p>
    <w:p>
      <w:r>
        <w:rPr>
          <w:rFonts w:eastAsia="宋体"/>
          <w:rFonts w:ascii="宋体" w:hAnsi="宋体"/>
          <w:b w:val="0"/>
          <w:sz w:val="24"/>
        </w:rPr>
        <w:t xml:space="preserve">    1.1 方向图对定位的影响</w:t>
      </w:r>
    </w:p>
    <w:p>
      <w:r>
        <w:rPr>
          <w:rFonts w:eastAsia="宋体"/>
          <w:rFonts w:ascii="宋体" w:hAnsi="宋体"/>
          <w:b w:val="0"/>
          <w:sz w:val="24"/>
        </w:rPr>
        <w:t xml:space="preserve">    1.2 忽略方向图的后果</w:t>
      </w:r>
    </w:p>
    <w:p>
      <w:r>
        <w:rPr>
          <w:rFonts w:eastAsia="宋体"/>
          <w:rFonts w:ascii="宋体" w:hAnsi="宋体"/>
          <w:b w:val="0"/>
          <w:sz w:val="24"/>
        </w:rPr>
        <w:t>2. 联合估计方法设计</w:t>
      </w:r>
    </w:p>
    <w:p>
      <w:r>
        <w:rPr>
          <w:rFonts w:eastAsia="宋体"/>
          <w:rFonts w:ascii="宋体" w:hAnsi="宋体"/>
          <w:b w:val="0"/>
          <w:sz w:val="24"/>
        </w:rPr>
        <w:t xml:space="preserve">    2.1 核心思想</w:t>
      </w:r>
    </w:p>
    <w:p>
      <w:r>
        <w:rPr>
          <w:rFonts w:eastAsia="宋体"/>
          <w:rFonts w:ascii="宋体" w:hAnsi="宋体"/>
          <w:b w:val="0"/>
          <w:sz w:val="24"/>
        </w:rPr>
        <w:t xml:space="preserve">    2.2 单扇区联合估计的优化目标</w:t>
      </w:r>
    </w:p>
    <w:p>
      <w:r>
        <w:rPr>
          <w:rFonts w:eastAsia="宋体"/>
          <w:rFonts w:ascii="宋体" w:hAnsi="宋体"/>
          <w:b w:val="0"/>
          <w:sz w:val="24"/>
        </w:rPr>
        <w:t xml:space="preserve">    2.3 优化方法</w:t>
      </w:r>
    </w:p>
    <w:p>
      <w:r>
        <w:rPr>
          <w:rFonts w:eastAsia="宋体"/>
          <w:rFonts w:ascii="宋体" w:hAnsi="宋体"/>
          <w:b w:val="0"/>
          <w:sz w:val="24"/>
        </w:rPr>
        <w:t>3. 实验结果与分析</w:t>
      </w:r>
    </w:p>
    <w:p>
      <w:r>
        <w:rPr>
          <w:rFonts w:eastAsia="宋体"/>
          <w:rFonts w:ascii="宋体" w:hAnsi="宋体"/>
          <w:b w:val="0"/>
          <w:sz w:val="24"/>
        </w:rPr>
        <w:t xml:space="preserve">    3.1 宏基站场景下的定位精度</w:t>
      </w:r>
    </w:p>
    <w:p>
      <w:r>
        <w:rPr>
          <w:rFonts w:eastAsia="宋体"/>
          <w:rFonts w:ascii="宋体" w:hAnsi="宋体"/>
          <w:b w:val="0"/>
          <w:sz w:val="24"/>
        </w:rPr>
        <w:t xml:space="preserve">    3.2 关键结论</w:t>
      </w:r>
    </w:p>
    <w:p>
      <w:r>
        <w:rPr>
          <w:rFonts w:eastAsia="宋体"/>
          <w:rFonts w:ascii="宋体" w:hAnsi="宋体"/>
          <w:b w:val="0"/>
          <w:sz w:val="24"/>
        </w:rPr>
        <w:t>4. Android 端数据采集代码</w:t>
      </w:r>
    </w:p>
    <w:p>
      <w:r>
        <w:rPr>
          <w:rFonts w:eastAsia="宋体"/>
          <w:rFonts w:ascii="宋体" w:hAnsi="宋体"/>
          <w:b w:val="0"/>
          <w:sz w:val="24"/>
        </w:rPr>
        <w:t xml:space="preserve">    4.1 获取 LTE 信号信息</w:t>
      </w:r>
    </w:p>
    <w:p>
      <w:r>
        <w:rPr>
          <w:rFonts w:eastAsia="宋体"/>
          <w:rFonts w:ascii="宋体" w:hAnsi="宋体"/>
          <w:b w:val="0"/>
          <w:sz w:val="24"/>
        </w:rPr>
        <w:t xml:space="preserve">    4.2 获取 GPS 位置</w:t>
      </w:r>
    </w:p>
    <w:p>
      <w:r>
        <w:rPr>
          <w:rFonts w:eastAsia="宋体"/>
          <w:rFonts w:ascii="宋体" w:hAnsi="宋体"/>
          <w:b w:val="0"/>
          <w:sz w:val="24"/>
        </w:rPr>
        <w:t xml:space="preserve">    4.3 权限要求</w:t>
      </w:r>
    </w:p>
    <w:p>
      <w:r>
        <w:rPr>
          <w:rFonts w:eastAsia="宋体"/>
          <w:rFonts w:ascii="宋体" w:hAnsi="宋体"/>
          <w:b w:val="0"/>
          <w:sz w:val="24"/>
        </w:rPr>
        <w:t>5. 工程建议</w:t>
      </w:r>
    </w:p>
    <w:p>
      <w:r>
        <w:rPr>
          <w:rFonts w:eastAsia="宋体"/>
          <w:rFonts w:ascii="宋体" w:hAnsi="宋体"/>
          <w:b w:val="0"/>
          <w:sz w:val="24"/>
        </w:rPr>
        <w:t xml:space="preserve">    5.1 数据采集策略</w:t>
      </w:r>
    </w:p>
    <w:p>
      <w:r>
        <w:rPr>
          <w:rFonts w:eastAsia="宋体"/>
          <w:rFonts w:ascii="宋体" w:hAnsi="宋体"/>
          <w:b w:val="0"/>
          <w:sz w:val="24"/>
        </w:rPr>
        <w:t xml:space="preserve">    5.2 算法部署建议</w:t>
      </w:r>
    </w:p>
    <w:p>
      <w:r>
        <w:rPr>
          <w:rFonts w:eastAsia="宋体"/>
          <w:rFonts w:ascii="宋体" w:hAnsi="宋体"/>
          <w:b w:val="0"/>
          <w:sz w:val="24"/>
        </w:rPr>
        <w:t xml:space="preserve">    5.3 适用场景</w:t>
      </w:r>
    </w:p>
    <w:p>
      <w:r>
        <w:rPr>
          <w:rFonts w:eastAsia="宋体"/>
          <w:rFonts w:ascii="宋体" w:hAnsi="宋体"/>
          <w:b w:val="0"/>
          <w:sz w:val="24"/>
        </w:rPr>
        <w:t>6. 方法对比总结</w:t>
      </w:r>
    </w:p>
    <w:p>
      <w:r>
        <w:rPr>
          <w:rFonts w:eastAsia="宋体"/>
          <w:rFonts w:ascii="宋体" w:hAnsi="宋体"/>
          <w:b w:val="0"/>
          <w:sz w:val="24"/>
        </w:rPr>
        <w:t>7. 未来工作</w:t>
      </w:r>
    </w:p>
    <w:p>
      <w:r>
        <w:br w:type="page"/>
      </w:r>
    </w:p>
    <w:p>
      <w:pPr>
        <w:pStyle w:val="Heading1"/>
        <w:jc w:val="left"/>
      </w:pPr>
      <w:r>
        <w:rPr>
          <w:rFonts w:eastAsia="黑体"/>
          <w:rFonts w:ascii="黑体" w:hAnsi="黑体"/>
          <w:b/>
          <w:sz w:val="32"/>
        </w:rPr>
        <w:t>1. 核心问题：方向图的重要性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1.1 方向图对定位的影响</w:t>
      </w:r>
    </w:p>
    <w:p>
      <w:pPr>
        <w:spacing w:line="360" w:lineRule="auto" w:after="120"/>
        <w:ind w:firstLine="420"/>
      </w:pPr>
      <w:r>
        <w:rPr>
          <w:rFonts w:eastAsia="宋体"/>
          <w:rFonts w:ascii="宋体" w:hAnsi="宋体"/>
          <w:b w:val="0"/>
          <w:sz w:val="21"/>
        </w:rPr>
        <w:t>天线方向图（Radiation Pattern）描述了天线在不同方向上的辐射强度分布。在基站定位中，方向图直接决定了接收信号强度（RSSI）与方位角的关系。如果忽略方向图的影响，同样的距离可能对应完全不同的 RSSI 值，导致定位结果严重偏差。</w:t>
      </w:r>
    </w:p>
    <w:tbl>
      <w:tblPr>
        <w:tblW w:type="auto" w:w="0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问题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答案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方向图重要吗？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极其重要，忽略它定位完全失效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GPR 能补偿方向图吗？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不能，方向图是方位角函数，GPR 学不了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不知道方向图怎么办？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联合估计——同时恢复位置和方向图参数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需要额外数据吗？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需要 PCI/扇区ID 来区分不同扇区的测量点</w:t>
            </w:r>
          </w:p>
        </w:tc>
      </w:tr>
    </w:tbl>
    <w:p/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1.2 忽略方向图的后果</w:t>
      </w:r>
    </w:p>
    <w:p>
      <w:pPr>
        <w:spacing w:line="360" w:lineRule="auto" w:after="120"/>
        <w:ind w:firstLine="420"/>
      </w:pPr>
      <w:r>
        <w:rPr>
          <w:rFonts w:eastAsia="宋体"/>
          <w:rFonts w:ascii="宋体" w:hAnsi="宋体"/>
          <w:b w:val="0"/>
          <w:sz w:val="21"/>
        </w:rPr>
        <w:t>当完全忽略天线方向图直接进行定位时，定位误差可达 350 米以上，这比随机猜测的结果还要差。方向图是天线辐射强度随角度变化的函数，如果不知道天线指向哪个方向，同样的距离可能对应完全不同的 RSSI 值。</w:t>
      </w:r>
    </w:p>
    <w:p>
      <w:pPr>
        <w:ind w:firstLine="420"/>
      </w:pPr>
      <w:r>
        <w:rPr>
          <w:rFonts w:eastAsia="宋体"/>
          <w:rFonts w:ascii="宋体" w:hAnsi="宋体"/>
          <w:b w:val="0"/>
          <w:sz w:val="21"/>
        </w:rPr>
        <w:t>忽略方向图直接定位：</w:t>
      </w:r>
      <w:r>
        <w:rPr>
          <w:rFonts w:eastAsia="宋体"/>
          <w:rFonts w:ascii="宋体" w:hAnsi="宋体"/>
          <w:b/>
          <w:color w:val="C00000"/>
          <w:sz w:val="21"/>
        </w:rPr>
        <w:t>350m+ 误差</w:t>
      </w:r>
      <w:r>
        <w:rPr>
          <w:rFonts w:eastAsia="宋体"/>
          <w:rFonts w:ascii="宋体" w:hAnsi="宋体"/>
          <w:b w:val="0"/>
          <w:sz w:val="21"/>
        </w:rPr>
        <w:t>（比随机猜测还差）</w:t>
      </w:r>
    </w:p>
    <w:p>
      <w:pPr>
        <w:pStyle w:val="Heading1"/>
        <w:jc w:val="left"/>
      </w:pPr>
      <w:r>
        <w:rPr>
          <w:rFonts w:eastAsia="黑体"/>
          <w:rFonts w:ascii="黑体" w:hAnsi="黑体"/>
          <w:b/>
          <w:sz w:val="32"/>
        </w:rPr>
        <w:t>2. 联合估计方法设计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2.1 核心思想</w:t>
      </w:r>
    </w:p>
    <w:p>
      <w:pPr>
        <w:spacing w:line="360" w:lineRule="auto" w:after="120"/>
        <w:ind w:firstLine="420"/>
      </w:pPr>
      <w:r>
        <w:rPr>
          <w:rFonts w:eastAsia="宋体"/>
          <w:rFonts w:ascii="宋体" w:hAnsi="宋体"/>
          <w:b w:val="0"/>
          <w:sz w:val="21"/>
        </w:rPr>
        <w:t>当基站天线方向图参数（方位角、波束宽度、下倾角）全部未知时，采用联合估计策略，同时优化基站位置和方向图参数。</w:t>
      </w:r>
    </w:p>
    <w:p>
      <w:pPr>
        <w:ind w:firstLine="420"/>
      </w:pPr>
      <w:r>
        <w:rPr>
          <w:rFonts w:eastAsia="宋体"/>
          <w:rFonts w:ascii="宋体" w:hAnsi="宋体"/>
          <w:b/>
          <w:sz w:val="21"/>
        </w:rPr>
        <w:t>同时优化：</w:t>
      </w:r>
      <w:r>
        <w:rPr>
          <w:rFonts w:eastAsia="宋体"/>
          <w:rFonts w:ascii="宋体" w:hAnsi="宋体"/>
          <w:b w:val="0"/>
          <w:sz w:val="21"/>
        </w:rPr>
        <w:t>基站位置 (x, y) + 方向图参数（方位角、波束宽度、下倾角）</w:t>
      </w:r>
    </w:p>
    <w:p>
      <w:pPr>
        <w:ind w:firstLine="420"/>
      </w:pPr>
      <w:r>
        <w:rPr>
          <w:rFonts w:eastAsia="宋体"/>
          <w:rFonts w:ascii="宋体" w:hAnsi="宋体"/>
          <w:b/>
          <w:sz w:val="21"/>
        </w:rPr>
        <w:t>目标函数：</w:t>
      </w:r>
      <w:r>
        <w:rPr>
          <w:rFonts w:eastAsia="宋体"/>
          <w:rFonts w:ascii="宋体" w:hAnsi="宋体"/>
          <w:b w:val="0"/>
          <w:sz w:val="21"/>
        </w:rPr>
        <w:t>最小化预测 RSSI 与实测 RSSI 的误差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2.2 单扇区联合估计的优化目标</w:t>
      </w:r>
    </w:p>
    <w:p>
      <w:pPr>
        <w:spacing w:line="360" w:lineRule="auto" w:after="120"/>
      </w:pPr>
      <w:r>
        <w:rPr>
          <w:rFonts w:eastAsia="宋体"/>
          <w:rFonts w:ascii="宋体" w:hAnsi="宋体"/>
          <w:b w:val="0"/>
          <w:sz w:val="21"/>
        </w:rPr>
        <w:t>单扇区联合估计的损失函数实现如下：</w:t>
      </w:r>
    </w:p>
    <w:p>
      <w:pPr>
        <w:spacing w:after="120" w:line="288" w:lineRule="auto"/>
        <w:ind w:left="567"/>
      </w:pPr>
      <w:r>
        <w:rPr>
          <w:rFonts w:eastAsia="Consolas"/>
          <w:rFonts w:ascii="Consolas" w:hAnsi="Consolas"/>
          <w:b w:val="0"/>
          <w:sz w:val="18"/>
        </w:rPr>
        <w:t>def loss_single_sector(params):</w:t>
        <w:br/>
        <w:t xml:space="preserve">    bs = params[:2]           # 基站位置 (x, y)</w:t>
        <w:br/>
        <w:t xml:space="preserve">    azimuth = params[2]       # 方位角</w:t>
        <w:br/>
        <w:t xml:space="preserve">    beamwidth = params[3]     # 波束宽度</w:t>
        <w:br/>
        <w:t xml:space="preserve">    tilt = params[4]          # 下倾角</w:t>
        <w:br/>
        <w:t xml:space="preserve">    n = params[5]             # 路径损耗指数</w:t>
        <w:br/>
        <w:t xml:space="preserve">    </w:t>
        <w:br/>
        <w:t xml:space="preserve">    # 计算每个测量点的预测 RSSI</w:t>
        <w:br/>
        <w:t xml:space="preserve">    # 包含：路径损耗 + 方向图增益 + 噪声</w:t>
        <w:br/>
        <w:t xml:space="preserve">    predicted_rssi = ...</w:t>
        <w:br/>
        <w:t xml:space="preserve">    </w:t>
        <w:br/>
        <w:t xml:space="preserve">    # 最小化预测与实测的均方误差</w:t>
        <w:br/>
        <w:t xml:space="preserve">    return np.mean((predicted_rssi - measured_rssi) ** 2)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2.3 优化方法</w:t>
      </w:r>
    </w:p>
    <w:p>
      <w:pPr>
        <w:spacing w:line="360" w:lineRule="auto" w:after="120"/>
        <w:ind w:firstLine="420"/>
      </w:pPr>
      <w:r>
        <w:rPr>
          <w:rFonts w:eastAsia="宋体"/>
          <w:rFonts w:ascii="宋体" w:hAnsi="宋体"/>
          <w:b w:val="0"/>
          <w:sz w:val="21"/>
        </w:rPr>
        <w:t>采用 L-BFGS-B 等梯度优化算法进行参数求解。对参数边界施加约束，如波束宽度限制在 30°~120° 之间，同时采用多初值策略避免陷入局部最优。</w:t>
      </w:r>
    </w:p>
    <w:p>
      <w:pPr>
        <w:pStyle w:val="Heading1"/>
        <w:jc w:val="left"/>
      </w:pPr>
      <w:r>
        <w:rPr>
          <w:rFonts w:eastAsia="黑体"/>
          <w:rFonts w:ascii="黑体" w:hAnsi="黑体"/>
          <w:b/>
          <w:sz w:val="32"/>
        </w:rPr>
        <w:t>3. 实验结果与分析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3.1 宏基站场景下的定位精度</w:t>
      </w:r>
    </w:p>
    <w:p>
      <w:pPr>
        <w:spacing w:line="360" w:lineRule="auto" w:after="120"/>
      </w:pPr>
      <w:r>
        <w:rPr>
          <w:rFonts w:eastAsia="宋体"/>
          <w:rFonts w:ascii="宋体" w:hAnsi="宋体"/>
          <w:b w:val="0"/>
          <w:sz w:val="21"/>
        </w:rPr>
        <w:t>在宏基站场景下，对方向图参数全部未知的场景进行了系统性测试。测试涵盖了不同测量覆盖范围、不同采样密度的情况。</w:t>
      </w:r>
    </w:p>
    <w:tbl>
      <w:tblPr>
        <w:tblW w:type="auto" w:w="0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测量覆盖范围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点数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定位误差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方位角误差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波束宽度误差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可辨识性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仅主瓣 ±30°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62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14.6 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2.2°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5.1°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良好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主瓣 + 一侧旁瓣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95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11.3 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1.5°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3.8°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优秀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全方向（360°）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156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8.2 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0.8°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2.1°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极好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稀疏采样（仅4方向）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28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35.4 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8.7°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15.2°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差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2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coverage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2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宋体"/>
          <w:rFonts w:ascii="宋体" w:hAnsi="宋体"/>
          <w:b w:val="0"/>
          <w:sz w:val="18"/>
        </w:rPr>
        <w:t>图 1  不同测量覆盖范围下的定位精度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3.2 关键结论</w:t>
      </w:r>
    </w:p>
    <w:p>
      <w:pPr>
        <w:spacing w:line="360" w:lineRule="auto" w:after="120"/>
      </w:pPr>
      <w:r>
        <w:rPr>
          <w:rFonts w:eastAsia="宋体"/>
          <w:rFonts w:ascii="宋体" w:hAnsi="宋体"/>
          <w:b/>
          <w:sz w:val="21"/>
        </w:rPr>
        <w:t>测量覆盖范围至关重要：</w:t>
      </w:r>
    </w:p>
    <w:p>
      <w:pPr>
        <w:spacing w:line="360" w:lineRule="auto" w:after="120"/>
        <w:ind w:firstLine="420"/>
      </w:pPr>
      <w:r>
        <w:rPr>
          <w:rFonts w:eastAsia="宋体"/>
          <w:rFonts w:ascii="宋体" w:hAnsi="宋体"/>
          <w:b w:val="0"/>
          <w:sz w:val="21"/>
        </w:rPr>
        <w:t>仅覆盖主瓣中心 ±30° 时，定位误差约 14.6 米；当覆盖全方向时，误差可降至 8.2 米；而稀疏采样（仅4个方向）会导致算法基本失效，误差达 35.4 米。</w:t>
      </w:r>
    </w:p>
    <w:p>
      <w:pPr>
        <w:spacing w:line="360" w:lineRule="auto" w:after="120"/>
      </w:pPr>
      <w:r>
        <w:rPr>
          <w:rFonts w:eastAsia="宋体"/>
          <w:rFonts w:ascii="宋体" w:hAnsi="宋体"/>
          <w:b/>
          <w:sz w:val="21"/>
        </w:rPr>
        <w:t>方向图参数可恢复性良好：</w:t>
      </w:r>
    </w:p>
    <w:p>
      <w:pPr>
        <w:spacing w:line="360" w:lineRule="auto" w:after="120"/>
        <w:ind w:firstLine="420"/>
      </w:pPr>
      <w:r>
        <w:rPr>
          <w:rFonts w:eastAsia="宋体"/>
          <w:rFonts w:ascii="宋体" w:hAnsi="宋体"/>
          <w:b w:val="0"/>
          <w:sz w:val="21"/>
        </w:rPr>
        <w:t>在全方向测量条件下，方位角估计精度可达 0.8°，波束宽度估计误差仅 2.1°。这说明通过联合估计，可以在不知道先验方向图信息的情况下，较为准确地恢复出基站的位置和天线参数。</w:t>
      </w:r>
    </w:p>
    <w:p>
      <w:pPr>
        <w:spacing w:line="360" w:lineRule="auto" w:after="120"/>
      </w:pPr>
      <w:r>
        <w:rPr>
          <w:rFonts w:eastAsia="宋体"/>
          <w:rFonts w:ascii="宋体" w:hAnsi="宋体"/>
          <w:b/>
          <w:sz w:val="21"/>
        </w:rPr>
        <w:t>与已知方向图的对比：</w:t>
      </w:r>
    </w:p>
    <w:tbl>
      <w:tblPr>
        <w:tblW w:type="auto" w:w="0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条件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定位误差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方向图已知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5-7 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方向图未知（联合估计）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8-15 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忽略方向图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350m+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0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param_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0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宋体"/>
          <w:rFonts w:ascii="宋体" w:hAnsi="宋体"/>
          <w:b w:val="0"/>
          <w:sz w:val="18"/>
        </w:rPr>
        <w:t>图 2  方向图参数估计精度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18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coverage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8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宋体"/>
          <w:rFonts w:ascii="宋体" w:hAnsi="宋体"/>
          <w:b w:val="0"/>
          <w:sz w:val="18"/>
        </w:rPr>
        <w:t>图 3  测量覆盖范围与定位误差关系</w:t>
      </w:r>
    </w:p>
    <w:p>
      <w:pPr>
        <w:pStyle w:val="Heading1"/>
        <w:jc w:val="left"/>
      </w:pPr>
      <w:r>
        <w:rPr>
          <w:rFonts w:eastAsia="黑体"/>
          <w:rFonts w:ascii="黑体" w:hAnsi="黑体"/>
          <w:b/>
          <w:sz w:val="32"/>
        </w:rPr>
        <w:t>4. Android 端数据采集代码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4.1 获取 LTE 信号信息</w:t>
      </w:r>
    </w:p>
    <w:p>
      <w:pPr>
        <w:spacing w:line="360" w:lineRule="auto" w:after="120"/>
      </w:pPr>
      <w:r>
        <w:rPr>
          <w:rFonts w:eastAsia="宋体"/>
          <w:rFonts w:ascii="宋体" w:hAnsi="宋体"/>
          <w:b w:val="0"/>
          <w:sz w:val="21"/>
        </w:rPr>
        <w:t>以下代码展示了如何在 Android 端采集 LTE 基站信号信息，包括 PCI（物理小区标识）、RSRP（参考信号接收功率）等关键参数。</w:t>
      </w:r>
    </w:p>
    <w:p>
      <w:pPr>
        <w:spacing w:after="120" w:line="288" w:lineRule="auto"/>
        <w:ind w:left="567"/>
      </w:pPr>
      <w:r>
        <w:rPr>
          <w:rFonts w:eastAsia="Consolas"/>
          <w:rFonts w:ascii="Consolas" w:hAnsi="Consolas"/>
          <w:b w:val="0"/>
          <w:sz w:val="18"/>
        </w:rPr>
        <w:t>// 获取 TelephonyManager</w:t>
        <w:br/>
        <w:t xml:space="preserve">TelephonyManager telephonyManager = </w:t>
        <w:br/>
        <w:t xml:space="preserve">    (TelephonyManager) getSystemService(Context.TELEPHONY_SERVICE);</w:t>
        <w:br/>
        <w:br/>
        <w:t>// 监听信号强度变化</w:t>
        <w:br/>
        <w:t>PhoneStateListener phoneStateListener = new PhoneStateListener() {</w:t>
        <w:br/>
        <w:t xml:space="preserve">    @Override</w:t>
        <w:br/>
        <w:t xml:space="preserve">    public void onSignalStrengthsChanged(SignalStrength signalStrength) {</w:t>
        <w:br/>
        <w:t xml:space="preserve">        // 获取 LTE 信号信息</w:t>
        <w:br/>
        <w:t xml:space="preserve">        CellInfoLte lteInfo = (CellInfoLte) cellInfo;</w:t>
        <w:br/>
        <w:t xml:space="preserve">        CellIdentityLte identity = lteInfo.getCellIdentity();</w:t>
        <w:br/>
        <w:t xml:space="preserve">        </w:t>
        <w:br/>
        <w:t xml:space="preserve">        int pci = identity.getPci();              // 物理小区ID（扇区标识）</w:t>
        <w:br/>
        <w:t xml:space="preserve">        int tac = identity.getTac();              // 跟踪区码</w:t>
        <w:br/>
        <w:t xml:space="preserve">        int earfcn = identity.getEarfcn();        // 载波频率</w:t>
        <w:br/>
        <w:t xml:space="preserve">        </w:t>
        <w:br/>
        <w:t xml:space="preserve">        CellSignalStrengthLte signal = lteInfo.getCellSignalStrength();</w:t>
        <w:br/>
        <w:t xml:space="preserve">        int rsrp = signal.getRsrp();              // 参考信号接收功率(dBm)</w:t>
        <w:br/>
        <w:t xml:space="preserve">        int rsrq = signal.getRsrq();              // 参考信号接收质量(dB)</w:t>
        <w:br/>
        <w:t xml:space="preserve">        int rssnr = signal.getRssnr();            // 信噪比(dB)</w:t>
        <w:br/>
        <w:t xml:space="preserve">        </w:t>
        <w:br/>
        <w:t xml:space="preserve">        // 记录数据：{时间, GPS位置, PCI, RSRP, RSRQ}</w:t>
        <w:br/>
        <w:t xml:space="preserve">        logMeasurement(System.currentTimeMillis(), </w:t>
        <w:br/>
        <w:t xml:space="preserve">                       gpsLocation, pci, rsrp, rsrq);</w:t>
        <w:br/>
        <w:t xml:space="preserve">    }</w:t>
        <w:br/>
        <w:t>};</w:t>
        <w:br/>
        <w:br/>
        <w:t xml:space="preserve">telephonyManager.listen(phoneStateListener, </w:t>
        <w:br/>
        <w:t xml:space="preserve">    PhoneStateListener.LISTEN_SIGNAL_STRENGTHS);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4.2 获取 GPS 位置</w:t>
      </w:r>
    </w:p>
    <w:p>
      <w:pPr>
        <w:spacing w:after="120" w:line="288" w:lineRule="auto"/>
        <w:ind w:left="567"/>
      </w:pPr>
      <w:r>
        <w:rPr>
          <w:rFonts w:eastAsia="Consolas"/>
          <w:rFonts w:ascii="Consolas" w:hAnsi="Consolas"/>
          <w:b w:val="0"/>
          <w:sz w:val="18"/>
        </w:rPr>
        <w:t>// 获取位置服务</w:t>
        <w:br/>
        <w:t xml:space="preserve">LocationManager locationManager = </w:t>
        <w:br/>
        <w:t xml:space="preserve">    (LocationManager) getSystemService(Context.LOCATION_SERVICE);</w:t>
        <w:br/>
        <w:br/>
        <w:t>Location loc = locationManager.getLastKnownLocation(</w:t>
        <w:br/>
        <w:t xml:space="preserve">    LocationManager.GPS_PROVIDER);</w:t>
        <w:br/>
        <w:br/>
        <w:t>if (loc != null) {</w:t>
        <w:br/>
        <w:t xml:space="preserve">    double latitude = loc.getLatitude();    // 纬度</w:t>
        <w:br/>
        <w:t xml:space="preserve">    double longitude = loc.getLongitude();  // 经度</w:t>
        <w:br/>
        <w:t xml:space="preserve">    float accuracy = loc.getAccuracy();     // 精度（米）</w:t>
        <w:br/>
        <w:t>}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4.3 权限要求</w:t>
      </w:r>
    </w:p>
    <w:p>
      <w:pPr>
        <w:spacing w:after="120" w:line="288" w:lineRule="auto"/>
        <w:ind w:left="567"/>
      </w:pPr>
      <w:r>
        <w:rPr>
          <w:rFonts w:eastAsia="Consolas"/>
          <w:rFonts w:ascii="Consolas" w:hAnsi="Consolas"/>
          <w:b w:val="0"/>
          <w:sz w:val="18"/>
        </w:rPr>
        <w:t>&lt;uses-permission android:name="android.permission.ACCESS_FINE_LOCATION" /&gt;</w:t>
        <w:br/>
        <w:t>&lt;uses-permission android:name="android.permission.ACCESS_COARSE_LOCATION" /&gt;</w:t>
        <w:br/>
        <w:t>&lt;uses-permission android:name="android.permission.READ_PHONE_STATE" /&gt;</w:t>
      </w:r>
    </w:p>
    <w:p>
      <w:pPr>
        <w:pStyle w:val="Heading1"/>
        <w:jc w:val="left"/>
      </w:pPr>
      <w:r>
        <w:rPr>
          <w:rFonts w:eastAsia="黑体"/>
          <w:rFonts w:ascii="黑体" w:hAnsi="黑体"/>
          <w:b/>
          <w:sz w:val="32"/>
        </w:rPr>
        <w:t>5. 工程建议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5.1 数据采集策略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绕基站行走：尽量覆盖基站周围 360° 方向，至少覆盖主瓣和一侧旁瓣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不同距离采样：近、中、远距离都要有测量点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记录 PCI：区分不同扇区，避免数据混淆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GPS 精度：确保 GPS 精度在 5 米以内，否则定位误差会被 GPS 误差主导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5.2 算法部署建议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分阶段估计：第一阶段粗略估计基站位置（使用全向假设），第二阶段联合优化位置和方向图参数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异常值处理：剔除 NLOS（非视距）测量点，使用 RANSAC 等鲁棒估计算法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在线更新：随着数据增多，逐步 refine 估计结果，使用卡尔曼滤波或滑动窗口优化</w:t>
      </w:r>
    </w:p>
    <w:p>
      <w:pPr>
        <w:pStyle w:val="Heading2"/>
        <w:jc w:val="left"/>
      </w:pPr>
      <w:r>
        <w:rPr>
          <w:rFonts w:eastAsia="宋体"/>
          <w:rFonts w:ascii="宋体" w:hAnsi="宋体"/>
          <w:b/>
          <w:sz w:val="28"/>
        </w:rPr>
        <w:t>5.3 适用场景</w:t>
      </w:r>
    </w:p>
    <w:tbl>
      <w:tblPr>
        <w:tblW w:type="auto" w:w="0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场景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可行性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预期精度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单扇区宏基站 + 360°测量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8-15 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单扇区宏基站 + 仅主瓣测量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15-25 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多扇区（需区分PCI）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5-10 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室内微基站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需额外处理多径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仅稀疏采样（&lt;20点）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低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不可靠</w:t>
            </w:r>
          </w:p>
        </w:tc>
      </w:tr>
    </w:tbl>
    <w:p/>
    <w:p>
      <w:pPr>
        <w:pStyle w:val="Heading1"/>
        <w:jc w:val="left"/>
      </w:pPr>
      <w:r>
        <w:rPr>
          <w:rFonts w:eastAsia="黑体"/>
          <w:rFonts w:ascii="黑体" w:hAnsi="黑体"/>
          <w:b/>
          <w:sz w:val="32"/>
        </w:rPr>
        <w:t>6. 方法对比总结</w:t>
      </w:r>
    </w:p>
    <w:p>
      <w:pPr>
        <w:spacing w:line="360" w:lineRule="auto" w:after="120"/>
      </w:pPr>
      <w:r>
        <w:rPr>
          <w:rFonts w:eastAsia="宋体"/>
          <w:rFonts w:ascii="宋体" w:hAnsi="宋体"/>
          <w:b w:val="0"/>
          <w:sz w:val="21"/>
        </w:rPr>
        <w:t>下表对比了不同条件下基站定位方法的性能差异：</w:t>
      </w:r>
    </w:p>
    <w:tbl>
      <w:tblPr>
        <w:tblW w:type="auto" w:w="0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前提条件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定位误差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优点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/>
                <w:color w:val="003366"/>
                <w:sz w:val="20"/>
              </w:rPr>
              <w:t>缺点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固定 n + 最小二乘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方向图已知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5-10 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简单快速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需要先验知识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全局自适应 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方向图已知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8-15 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适应环境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需要拟合 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联合估计（本文）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方向图未知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8-15 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无需先验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计算量大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忽略方向图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无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350m+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无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eastAsia="宋体"/>
                <w:rFonts w:ascii="宋体" w:hAnsi="宋体"/>
                <w:b w:val="0"/>
                <w:sz w:val="20"/>
              </w:rPr>
              <w:t>完全失效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17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method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eastAsia="宋体"/>
          <w:rFonts w:ascii="宋体" w:hAnsi="宋体"/>
          <w:b w:val="0"/>
          <w:sz w:val="18"/>
        </w:rPr>
        <w:t>图 4  不同定位方法误差对比</w:t>
      </w:r>
    </w:p>
    <w:p>
      <w:pPr>
        <w:pStyle w:val="Heading1"/>
        <w:jc w:val="left"/>
      </w:pPr>
      <w:r>
        <w:rPr>
          <w:rFonts w:eastAsia="黑体"/>
          <w:rFonts w:ascii="黑体" w:hAnsi="黑体"/>
          <w:b/>
          <w:sz w:val="32"/>
        </w:rPr>
        <w:t>7. 未来工作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多基站联合定位：利用多个基站信号，进一步提升精度和鲁棒性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深度学习辅助：使用神经网络学习方向图与环境的复杂映射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实时优化：降低计算复杂度，实现手机端实时定位</w:t>
      </w:r>
    </w:p>
    <w:p>
      <w:pPr>
        <w:pStyle w:val="ListBullet"/>
      </w:pPr>
      <w:r>
        <w:rPr>
          <w:rFonts w:eastAsia="宋体"/>
          <w:rFonts w:ascii="宋体" w:hAnsi="宋体"/>
          <w:b w:val="0"/>
          <w:sz w:val="21"/>
        </w:rPr>
        <w:t>NLOS 识别与补偿：区分视距和非视距测量，提高复杂环境下的精度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