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500" w:after="600"/>
        <w:jc w:val="center"/>
      </w:pPr>
      <w:r>
        <w:rPr>
          <w:rFonts w:ascii="Times New Roman" w:hAnsi="Times New Roman" w:eastAsia="宋体"/>
          <w:b/>
          <w:sz w:val="24"/>
        </w:rPr>
        <w:t>科技论文阅读报告</w:t>
      </w:r>
    </w:p>
    <w:p>
      <w:pPr>
        <w:spacing w:after="1800"/>
        <w:jc w:val="center"/>
      </w:pPr>
      <w:r>
        <w:rPr>
          <w:rFonts w:ascii="Times New Roman" w:hAnsi="Times New Roman" w:eastAsia="宋体"/>
          <w:sz w:val="24"/>
        </w:rPr>
        <w:t>多模态情感识别论文结构与承接关系分析</w:t>
      </w:r>
    </w:p>
    <w:p>
      <w:pPr>
        <w:spacing w:after="400"/>
        <w:jc w:val="center"/>
      </w:pPr>
      <w:r>
        <w:rPr>
          <w:rFonts w:ascii="Times New Roman" w:hAnsi="Times New Roman" w:eastAsia="宋体"/>
          <w:sz w:val="24"/>
        </w:rPr>
        <w:t>姓名  康凯</w:t>
      </w:r>
    </w:p>
    <w:p>
      <w:pPr>
        <w:spacing w:after="400"/>
        <w:jc w:val="center"/>
      </w:pPr>
      <w:r>
        <w:rPr>
          <w:rFonts w:ascii="Times New Roman" w:hAnsi="Times New Roman" w:eastAsia="宋体"/>
          <w:sz w:val="24"/>
        </w:rPr>
        <w:t>学号  23009200942</w:t>
      </w:r>
    </w:p>
    <w:p>
      <w:pPr>
        <w:sectPr>
          <w:pgSz w:w="11906" w:h="16838"/>
          <w:pgMar w:top="1474" w:right="1701" w:bottom="1474" w:left="1701" w:header="680" w:footer="737" w:gutter="0"/>
          <w:cols w:space="720"/>
          <w:docGrid w:linePitch="360"/>
        </w:sectPr>
      </w:pPr>
    </w:p>
    <w:p>
      <w:pPr>
        <w:ind w:firstLine="480"/>
      </w:pPr>
      <w:r>
        <w:rPr>
          <w:rFonts w:ascii="Times New Roman" w:hAnsi="Times New Roman" w:eastAsia="宋体"/>
          <w:sz w:val="24"/>
        </w:rPr>
        <w:t>本文选读发表于Electronics的多模态情感识别论文，从九个方面分析其结构与承接关系。全文围绕模态异质性和表达冲突提出方案，再用对比与消融实验检验，主线清晰，但部分实验说明仍需统一。</w:t>
      </w:r>
    </w:p>
    <w:p>
      <w:pPr>
        <w:pStyle w:val="Heading1"/>
      </w:pPr>
      <w:r>
        <w:rPr>
          <w:rFonts w:ascii="Times New Roman" w:hAnsi="Times New Roman" w:eastAsia="宋体"/>
          <w:sz w:val="24"/>
        </w:rPr>
        <w:t>一 论文题名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原文题名为 Graph Convolution-Based Decoupling and Consistency-Driven Fusion for Multimodal Emotion Recognition，可译为“面向多模态情感识别的图卷积解耦与一致性驱动融合”。题名把两项核心方法放在前面，以应用任务收束，既明确研究对象，又预告“先解耦、后融合”的技术路线，与方法部分的组织顺序一致。</w:t>
      </w:r>
    </w:p>
    <w:p>
      <w:pPr>
        <w:pStyle w:val="Heading1"/>
      </w:pPr>
      <w:r>
        <w:rPr>
          <w:rFonts w:ascii="Times New Roman" w:hAnsi="Times New Roman" w:eastAsia="宋体"/>
          <w:sz w:val="24"/>
        </w:rPr>
        <w:t>二 作者姓名与通讯地址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作者为 Yingmin Deng、Chenyu Li、Yu Gu、He Zhang、Linsong Liu、Haixiang Lin、Shuang Wang 和 Hanlin Mo。前两位为共同第一作者，Yu Gu 为通讯作者，邮箱为 guyu@xidian.edu.cn。单位包括西安电子科技大学人工智能学院（西安710126）、西北大学新闻传播学院（西安710127）及荷兰代尔夫特理工大学应用数学研究所（2628 CD Delft）。署名、单位编号和通讯标记共同说明成果归属及联系渠道。</w:t>
      </w:r>
    </w:p>
    <w:p>
      <w:pPr>
        <w:pStyle w:val="Heading1"/>
      </w:pPr>
      <w:r>
        <w:rPr>
          <w:rFonts w:ascii="Times New Roman" w:hAnsi="Times New Roman" w:eastAsia="宋体"/>
          <w:sz w:val="24"/>
        </w:rPr>
        <w:t>三 摘要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摘要依次交代研究任务、模态异质性与表达不一致的困难、DW-GCN解耦和CACG-Fusion融合方案，以及两个数据集上的实验结论。它压缩了全文的论证过程，使读者先了解“为何研究、如何解决、效果怎样”。不足是只概述指标提升，没有列出关键数值，成果的幅度仍需查阅正文。</w:t>
      </w:r>
    </w:p>
    <w:p>
      <w:pPr>
        <w:pStyle w:val="Heading1"/>
        <w:pageBreakBefore/>
      </w:pPr>
      <w:r>
        <w:rPr>
          <w:rFonts w:ascii="Times New Roman" w:hAnsi="Times New Roman" w:eastAsia="宋体"/>
          <w:sz w:val="24"/>
        </w:rPr>
        <w:t>四 引言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引言从单一语音难以准确表达复杂情感切入，说明引入文本与视觉信息的必要性，再聚焦模态异质性、情感表达不一致两个难点。随后指出既有解耦网络较简单、融合不够深入，最后列出方法和实验贡献。其承接方式是从应用需求逐步收窄到具体研究缺口，并使提出的问题与后文两个核心模块对应。</w:t>
      </w:r>
    </w:p>
    <w:p>
      <w:pPr>
        <w:pStyle w:val="Heading1"/>
      </w:pPr>
      <w:r>
        <w:rPr>
          <w:rFonts w:ascii="Times New Roman" w:hAnsi="Times New Roman" w:eastAsia="宋体"/>
          <w:sz w:val="24"/>
        </w:rPr>
        <w:t>五 相关工作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相关工作分为多模态情感识别和多模态特征解耦两部分。前者梳理特征级、决策级、模型级及混合融合，后者比较MISA、FDMER等方法如何分离共有与私有特征。作者并非只罗列文献，而是据此归纳编码结构和融合策略的不足。该节将引言中的问题判断转化为文献依据，进而引出图结构建模与自适应融合。</w:t>
      </w:r>
    </w:p>
    <w:p>
      <w:pPr>
        <w:pStyle w:val="Heading1"/>
      </w:pPr>
      <w:r>
        <w:rPr>
          <w:rFonts w:ascii="Times New Roman" w:hAnsi="Times New Roman" w:eastAsia="宋体"/>
          <w:sz w:val="24"/>
        </w:rPr>
        <w:t>六 方法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方法先给出总体流程，再展开特征提取、解耦和融合。文本、视觉、语音分别通过BERT、Facet、COVAREP提取特征，并投影到统一空间。独立GCN提取各模态私有特征，动态加权的跨模态图提取共有特征；正交、重构和循环一致性损失约束解耦过程。随后，共有特征经过自注意力，私有特征经过交叉注意力，再由一致性门控调节二者贡献，完成预测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这种按数据流展开的写法使输入、处理和输出较易追踪。解耦回应异质性，门控融合回应表达冲突，两者分别承接引言提出的困难，也为消融实验确定了检验对象。</w:t>
      </w:r>
    </w:p>
    <w:p>
      <w:pPr>
        <w:pStyle w:val="Heading1"/>
        <w:pageBreakBefore/>
      </w:pPr>
      <w:r>
        <w:rPr>
          <w:rFonts w:ascii="Times New Roman" w:hAnsi="Times New Roman" w:eastAsia="宋体"/>
          <w:sz w:val="24"/>
        </w:rPr>
        <w:t>七 实验结果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论文先独立介绍数据集与评价指标，再说明训练设置、基线和结果，形成“评价规则—整体比较—模块验证”的证据顺序。表7、表8显示，MOSI与MOSEI上的七分类准确率分别为48.1%和55.5%，较DMD提高2.5和1.0个百分点。表9、表10中去掉一致性门控后，该指标降至47.0%和52.0%，为融合模块的贡献提供证据。混淆矩阵补充类别层面的错误分析，损失曲线展示训练变化，从而避免仅凭总体得分评价方法。这里的消融承担“为什么有效”的解释任务，与整体比较回答“效果是否更好”相互补充，也直接回应引言中的贡献声明。</w:t>
      </w:r>
    </w:p>
    <w:p>
      <w:pPr>
        <w:pStyle w:val="Heading1"/>
      </w:pPr>
      <w:r>
        <w:rPr>
          <w:rFonts w:ascii="Times New Roman" w:hAnsi="Times New Roman" w:eastAsia="宋体"/>
          <w:sz w:val="24"/>
        </w:rPr>
        <w:t>八 讨论与结论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原文未单设讨论章，解释主要融入结果分析，结论则回扣图卷积解耦和一致性融合的贡献。整体论证较完整，但结论的适用范围仍应限定于所测数据集：实验未报告多次运行的波动或显著性检验，尚不足以证明普遍鲁棒性。此外，第5.1节早停耐心值为10，表4却为5；第5.3.2节对两类注意力的文字描述与方法节相反。这些细节不影响结构主线，却削弱复现说明的一致性，值得写作时警惕。</w:t>
      </w:r>
    </w:p>
    <w:p>
      <w:pPr>
        <w:pStyle w:val="Heading1"/>
      </w:pPr>
      <w:r>
        <w:rPr>
          <w:rFonts w:ascii="Times New Roman" w:hAnsi="Times New Roman" w:eastAsia="宋体"/>
          <w:sz w:val="24"/>
        </w:rPr>
        <w:t>九 参考文献与总体评价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文末29篇参考文献涵盖融合方法、解耦研究、数据集和特征提取工具，分别支撑研究定位、方法来源及实验可追溯性。全文以题名和摘要预告主线，以引言和相关工作建立问题，再由方法、实验和结论逐步作答。阅读启示是：论文结构的关键不在章节齐全，而在问题、方案和证据能否逐一对应，同时保证公式、表格与文字互相一致。</w:t>
      </w:r>
    </w:p>
    <w:p>
      <w:pPr>
        <w:pStyle w:val="Heading1"/>
      </w:pPr>
      <w:r>
        <w:rPr>
          <w:rFonts w:ascii="Times New Roman" w:hAnsi="Times New Roman" w:eastAsia="宋体"/>
          <w:sz w:val="24"/>
        </w:rPr>
        <w:t>阅读文献</w:t>
      </w:r>
    </w:p>
    <w:p>
      <w:r>
        <w:rPr>
          <w:rFonts w:ascii="Times New Roman" w:hAnsi="Times New Roman" w:eastAsia="宋体"/>
          <w:sz w:val="24"/>
        </w:rPr>
        <w:t>Deng Y, Li C, Gu Y, et al. Graph Convolution-Based Decoupling and Consistency-Driven Fusion for Multimodal Emotion Recognition[J]. Electronics, 2025, 14(15): 3047. DOI: 10.3390/electronics14153047.</w:t>
      </w:r>
    </w:p>
    <w:sectPr w:rsidR="00FC693F" w:rsidRPr="0006063C" w:rsidSect="00034616">
      <w:footerReference w:type="default" r:id="rId9"/>
      <w:pgSz w:w="11906" w:h="16838"/>
      <w:pgMar w:top="1474" w:right="1701" w:bottom="1474" w:left="1701" w:header="680" w:footer="73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before="0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88" w:lineRule="auto" w:before="0"/>
    </w:pPr>
    <w:rPr>
      <w:rFonts w:ascii="Times New Roman" w:hAnsi="Times New Roman" w:eastAsia="宋体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88" w:lineRule="auto" w:before="0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