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맑은 고딕" w:hAnsi="맑은 고딕" w:eastAsia="맑은 고딕"/>
          <w:b/>
          <w:color w:val="1F3A5F"/>
          <w:sz w:val="42"/>
        </w:rPr>
        <w:t>배린이가 미치면 생기는 일</w:t>
      </w:r>
    </w:p>
    <w:p>
      <w:pPr>
        <w:spacing w:after="160" w:before="0" w:line="288" w:lineRule="auto"/>
      </w:pPr>
      <w:r>
        <w:rPr>
          <w:rFonts w:ascii="맑은 고딕" w:hAnsi="맑은 고딕" w:eastAsia="맑은 고딕"/>
          <w:b/>
          <w:color w:val="D54D4A"/>
          <w:sz w:val="21"/>
        </w:rPr>
        <w:t>유튜브 게임 예능형 업로드 영상 기획안 | 작성: 정호성</w:t>
      </w:r>
    </w:p>
    <w:tbl>
      <w:tblPr>
        <w:tblW w:type="auto" w:w="0"/>
        <w:jc w:val="left"/>
        <w:tblLayout w:type="fixed"/>
        <w:tblLook w:firstColumn="1" w:firstRow="1" w:lastColumn="0" w:lastRow="0" w:noHBand="0" w:noVBand="1" w:val="04A0"/>
      </w:tblPr>
      <w:tblGrid>
        <w:gridCol w:w="5018"/>
        <w:gridCol w:w="5018"/>
      </w:tblGrid>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영상 링크</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https://youtu.be/QN0WuIsAuWc</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형식</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게임 예능형 업로드 영상</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역할</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기획, 컷 편집, 자막 방향, 업로드 패키징</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핵심 포인트</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초보 플레이어의 실수와 과몰입 리액션을 시청 포인트로 전환</w:t>
            </w:r>
          </w:p>
        </w:tc>
      </w:tr>
    </w:tbl>
    <w:p>
      <w:pPr>
        <w:spacing w:after="20"/>
      </w:pPr>
    </w:p>
    <w:p>
      <w:pPr>
        <w:spacing w:after="100" w:before="180" w:line="269" w:lineRule="auto"/>
      </w:pPr>
      <w:r>
        <w:rPr>
          <w:rFonts w:ascii="맑은 고딕" w:hAnsi="맑은 고딕" w:eastAsia="맑은 고딕"/>
          <w:b/>
          <w:color w:val="1F3A5F"/>
          <w:sz w:val="30"/>
        </w:rPr>
        <w:t>1. 기획 의도</w:t>
      </w:r>
    </w:p>
    <w:p>
      <w:pPr>
        <w:spacing w:after="100" w:before="0" w:line="295" w:lineRule="auto"/>
        <w:ind w:left="0"/>
      </w:pPr>
      <w:r>
        <w:rPr>
          <w:rFonts w:ascii="맑은 고딕" w:hAnsi="맑은 고딕" w:eastAsia="맑은 고딕"/>
          <w:b w:val="0"/>
          <w:color w:val="232323"/>
          <w:sz w:val="20"/>
        </w:rPr>
        <w:t>이 영상은 게임을 잘하는 플레이를 보여주는 콘텐츠가 아니라, 초보 플레이어가 상황을 따라가지 못하며 만들어내는 당황, 실수, 과몰입 리액션을 예능형 흐름으로 정리한 콘텐츠입니다. 시청자가 게임 실력보다 캐릭터의 반응과 장면의 타이밍에 몰입하도록 구성하는 것이 핵심입니다.</w:t>
      </w:r>
    </w:p>
    <w:p>
      <w:pPr>
        <w:spacing w:after="100" w:before="0" w:line="295" w:lineRule="auto"/>
        <w:ind w:left="0"/>
      </w:pPr>
      <w:r>
        <w:rPr>
          <w:rFonts w:ascii="맑은 고딕" w:hAnsi="맑은 고딕" w:eastAsia="맑은 고딕"/>
          <w:b w:val="0"/>
          <w:color w:val="232323"/>
          <w:sz w:val="20"/>
        </w:rPr>
        <w:t>원본 플레이를 단순 기록으로 두지 않고, 첫 장면의 후킹부터 컷 편집, 자막 톤, 썸네일 문구, 업로드 후 회고까지 하나의 시청 경험으로 설계했습니다.</w:t>
      </w:r>
    </w:p>
    <w:p>
      <w:pPr>
        <w:spacing w:after="100" w:before="180" w:line="269" w:lineRule="auto"/>
      </w:pPr>
      <w:r>
        <w:rPr>
          <w:rFonts w:ascii="맑은 고딕" w:hAnsi="맑은 고딕" w:eastAsia="맑은 고딕"/>
          <w:b/>
          <w:color w:val="1F3A5F"/>
          <w:sz w:val="30"/>
        </w:rPr>
        <w:t>2. 타깃 시청자</w:t>
      </w:r>
    </w:p>
    <w:p>
      <w:pPr>
        <w:spacing w:after="60" w:before="0" w:line="295" w:lineRule="auto"/>
        <w:ind w:left="202"/>
      </w:pPr>
      <w:r>
        <w:rPr>
          <w:rFonts w:ascii="맑은 고딕" w:hAnsi="맑은 고딕" w:eastAsia="맑은 고딕"/>
          <w:b w:val="0"/>
          <w:color w:val="232323"/>
          <w:sz w:val="19"/>
        </w:rPr>
        <w:t>배틀그라운드나 게임 예능 콘텐츠를 가볍게 소비하는 시청자</w:t>
      </w:r>
    </w:p>
    <w:p>
      <w:pPr>
        <w:spacing w:after="60" w:before="0" w:line="295" w:lineRule="auto"/>
        <w:ind w:left="202"/>
      </w:pPr>
      <w:r>
        <w:rPr>
          <w:rFonts w:ascii="맑은 고딕" w:hAnsi="맑은 고딕" w:eastAsia="맑은 고딕"/>
          <w:b w:val="0"/>
          <w:color w:val="232323"/>
          <w:sz w:val="19"/>
        </w:rPr>
        <w:t>초보 플레이어의 실수, 당황, 반응에 공감하는 게임 유저</w:t>
      </w:r>
    </w:p>
    <w:p>
      <w:pPr>
        <w:spacing w:after="60" w:before="0" w:line="295" w:lineRule="auto"/>
        <w:ind w:left="202"/>
      </w:pPr>
      <w:r>
        <w:rPr>
          <w:rFonts w:ascii="맑은 고딕" w:hAnsi="맑은 고딕" w:eastAsia="맑은 고딕"/>
          <w:b w:val="0"/>
          <w:color w:val="232323"/>
          <w:sz w:val="19"/>
        </w:rPr>
        <w:t>긴 설명보다 빠른 장면 전환과 자막 리듬을 선호하는 숏폼/유튜브 시청자</w:t>
      </w:r>
    </w:p>
    <w:p>
      <w:pPr>
        <w:spacing w:after="100" w:before="180" w:line="269" w:lineRule="auto"/>
      </w:pPr>
      <w:r>
        <w:rPr>
          <w:rFonts w:ascii="맑은 고딕" w:hAnsi="맑은 고딕" w:eastAsia="맑은 고딕"/>
          <w:b/>
          <w:color w:val="1F3A5F"/>
          <w:sz w:val="30"/>
        </w:rPr>
        <w:t>3. 콘텐츠 메시지</w:t>
      </w:r>
    </w:p>
    <w:p>
      <w:pPr>
        <w:spacing w:after="100" w:before="0" w:line="295" w:lineRule="auto"/>
        <w:ind w:left="0"/>
      </w:pPr>
      <w:r>
        <w:rPr>
          <w:rFonts w:ascii="맑은 고딕" w:hAnsi="맑은 고딕" w:eastAsia="맑은 고딕"/>
          <w:b w:val="0"/>
          <w:color w:val="232323"/>
          <w:sz w:val="20"/>
        </w:rPr>
        <w:t>“게임을 잘하지 않아도 캐릭터와 반응이 분명하면 콘텐츠가 된다.” 초보자의 불안정한 플레이를 약점이 아니라 영상의 캐릭터성으로 전환하고, 시청자가 다음 상황을 따라가며 웃을 수 있도록 리액션 중심으로 구성합니다.</w:t>
      </w:r>
    </w:p>
    <w:p>
      <w:pPr>
        <w:spacing w:after="100" w:before="180" w:line="269" w:lineRule="auto"/>
      </w:pPr>
      <w:r>
        <w:rPr>
          <w:rFonts w:ascii="맑은 고딕" w:hAnsi="맑은 고딕" w:eastAsia="맑은 고딕"/>
          <w:b/>
          <w:color w:val="1F3A5F"/>
          <w:sz w:val="30"/>
        </w:rPr>
        <w:t>4. 영상 구성안</w:t>
      </w:r>
    </w:p>
    <w:tbl>
      <w:tblPr>
        <w:tblW w:type="auto" w:w="0"/>
        <w:jc w:val="left"/>
        <w:tblLayout w:type="fixed"/>
        <w:tblLook w:firstColumn="1" w:firstRow="1" w:lastColumn="0" w:lastRow="0" w:noHBand="0" w:noVBand="1" w:val="04A0"/>
      </w:tblPr>
      <w:tblGrid>
        <w:gridCol w:w="3346"/>
        <w:gridCol w:w="3346"/>
        <w:gridCol w:w="3346"/>
      </w:tblGrid>
      <w:tr>
        <w:tc>
          <w:tcPr>
            <w:tcW w:type="dxa" w:w="151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구간</w:t>
            </w:r>
          </w:p>
        </w:tc>
        <w:tc>
          <w:tcPr>
            <w:tcW w:type="dxa" w:w="3960"/>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구성</w:t>
            </w:r>
          </w:p>
        </w:tc>
        <w:tc>
          <w:tcPr>
            <w:tcW w:type="dxa" w:w="439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편집 판단</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오프닝 훅</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가장 강한 리액션이나 실패 장면을 첫 진입점으로 배치</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초반 이탈을 줄이기 위해 설명보다 장면을 먼저 제시</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상황 세팅</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캐릭터의 실력, 현재 위치, 위기 상황을 짧게 제시</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시청자가 바로 이해할 수 있도록 자막을 압축</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사건 확장</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이동, 교전, 판단 실수, 팀 반응을 빠르게 연결</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실수와 결과가 바로 이어지도록 컷을 정리</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보조 정보</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지슈라2 관련 내용은 플레이 컨디션을 설명하는 짧은 맥락으로만 활용</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제품이 중심이 되지 않도록 시청 흐름을 우선</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마무리</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가장 기억에 남는 반응 또는 다음 편 기대 포인트로 종료</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댓글/후속 콘텐츠로 이어질 여지를 남김</w:t>
            </w:r>
          </w:p>
        </w:tc>
      </w:tr>
    </w:tbl>
    <w:p>
      <w:pPr>
        <w:spacing w:after="20"/>
      </w:pPr>
    </w:p>
    <w:p>
      <w:pPr>
        <w:spacing w:after="100" w:before="180" w:line="269" w:lineRule="auto"/>
      </w:pPr>
      <w:r>
        <w:rPr>
          <w:rFonts w:ascii="맑은 고딕" w:hAnsi="맑은 고딕" w:eastAsia="맑은 고딕"/>
          <w:b/>
          <w:color w:val="1F3A5F"/>
          <w:sz w:val="30"/>
        </w:rPr>
        <w:t>5. 편집 방향</w:t>
      </w:r>
    </w:p>
    <w:p>
      <w:pPr>
        <w:spacing w:after="60" w:before="0" w:line="295" w:lineRule="auto"/>
        <w:ind w:left="202"/>
      </w:pPr>
      <w:r>
        <w:rPr>
          <w:rFonts w:ascii="맑은 고딕" w:hAnsi="맑은 고딕" w:eastAsia="맑은 고딕"/>
          <w:b w:val="0"/>
          <w:color w:val="232323"/>
          <w:sz w:val="19"/>
        </w:rPr>
        <w:t>첫 5초 안에 강한 리액션 또는 실패 장면을 배치해 시청 이유를 빠르게 만듭니다.</w:t>
      </w:r>
    </w:p>
    <w:p>
      <w:pPr>
        <w:spacing w:after="60" w:before="0" w:line="295" w:lineRule="auto"/>
        <w:ind w:left="202"/>
      </w:pPr>
      <w:r>
        <w:rPr>
          <w:rFonts w:ascii="맑은 고딕" w:hAnsi="맑은 고딕" w:eastAsia="맑은 고딕"/>
          <w:b w:val="0"/>
          <w:color w:val="232323"/>
          <w:sz w:val="19"/>
        </w:rPr>
        <w:t>불필요한 이동 구간은 줄이고, 판단과 결과가 이어지는 장면 위주로 컷을 압축합니다.</w:t>
      </w:r>
    </w:p>
    <w:p>
      <w:pPr>
        <w:spacing w:after="60" w:before="0" w:line="295" w:lineRule="auto"/>
        <w:ind w:left="202"/>
      </w:pPr>
      <w:r>
        <w:rPr>
          <w:rFonts w:ascii="맑은 고딕" w:hAnsi="맑은 고딕" w:eastAsia="맑은 고딕"/>
          <w:b w:val="0"/>
          <w:color w:val="232323"/>
          <w:sz w:val="19"/>
        </w:rPr>
        <w:t>자막은 설명보다 감정선과 반응을 살리는 문장 중심으로 사용합니다.</w:t>
      </w:r>
    </w:p>
    <w:p>
      <w:pPr>
        <w:spacing w:after="60" w:before="0" w:line="295" w:lineRule="auto"/>
        <w:ind w:left="202"/>
      </w:pPr>
      <w:r>
        <w:rPr>
          <w:rFonts w:ascii="맑은 고딕" w:hAnsi="맑은 고딕" w:eastAsia="맑은 고딕"/>
          <w:b w:val="0"/>
          <w:color w:val="232323"/>
          <w:sz w:val="19"/>
        </w:rPr>
        <w:t>보조 정보나 제품 관련 멘트는 플레이 흐름을 끊지 않는 짧은 문장으로 처리합니다.</w:t>
      </w:r>
    </w:p>
    <w:p>
      <w:pPr>
        <w:spacing w:after="100" w:before="180" w:line="269" w:lineRule="auto"/>
      </w:pPr>
      <w:r>
        <w:rPr>
          <w:rFonts w:ascii="맑은 고딕" w:hAnsi="맑은 고딕" w:eastAsia="맑은 고딕"/>
          <w:b/>
          <w:color w:val="1F3A5F"/>
          <w:sz w:val="30"/>
        </w:rPr>
        <w:t>6. 업로드 패키징</w:t>
      </w:r>
    </w:p>
    <w:tbl>
      <w:tblPr>
        <w:tblW w:type="auto" w:w="0"/>
        <w:jc w:val="left"/>
        <w:tblLayout w:type="fixed"/>
        <w:tblLook w:firstColumn="1" w:firstRow="1" w:lastColumn="0" w:lastRow="0" w:noHBand="0" w:noVBand="1" w:val="04A0"/>
      </w:tblPr>
      <w:tblGrid>
        <w:gridCol w:w="5018"/>
        <w:gridCol w:w="5018"/>
      </w:tblGrid>
      <w:tr>
        <w:tc>
          <w:tcPr>
            <w:tcW w:type="dxa" w:w="1728"/>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1F3A5F"/>
                <w:sz w:val="19"/>
              </w:rPr>
              <w:t>항목</w:t>
            </w:r>
          </w:p>
        </w:tc>
        <w:tc>
          <w:tcPr>
            <w:tcW w:type="dxa" w:w="8136"/>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방향</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제목</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배린이가 미치면 생기는 일처럼 초보자 캐릭터와 예측 불가능한 상황이 동시에 읽히는 문구</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썸네일</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과장된 표정, 긴장 상황, 강한 키워드를 중심으로 구성</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설명란</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영상 콘셉트, 게임 상황, 후속 콘텐츠 연결 문구를 간단히 정리</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업로드 후 회고</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초반 유지율, 댓글 반응, 반복 시청 지점, 자막 밀도 피드백을 다음 편집에 반영</w:t>
            </w:r>
          </w:p>
        </w:tc>
      </w:tr>
    </w:tbl>
    <w:p>
      <w:pPr>
        <w:spacing w:after="20"/>
      </w:pPr>
    </w:p>
    <w:p>
      <w:pPr>
        <w:spacing w:after="100" w:before="180" w:line="269" w:lineRule="auto"/>
      </w:pPr>
      <w:r>
        <w:rPr>
          <w:rFonts w:ascii="맑은 고딕" w:hAnsi="맑은 고딕" w:eastAsia="맑은 고딕"/>
          <w:b/>
          <w:color w:val="1F3A5F"/>
          <w:sz w:val="30"/>
        </w:rPr>
        <w:t>7. 포트폴리오에서 보여줄 수 있는 역량</w:t>
      </w:r>
    </w:p>
    <w:p>
      <w:pPr>
        <w:spacing w:after="100" w:before="0" w:line="295" w:lineRule="auto"/>
        <w:ind w:left="0"/>
      </w:pPr>
      <w:r>
        <w:rPr>
          <w:rFonts w:ascii="맑은 고딕" w:hAnsi="맑은 고딕" w:eastAsia="맑은 고딕"/>
          <w:b w:val="0"/>
          <w:color w:val="232323"/>
          <w:sz w:val="20"/>
        </w:rPr>
        <w:t>이 프로젝트는 단순히 영상을 업로드했다는 결과보다, 원본 장면을 시청 가능한 흐름으로 재구성하는 판단을 보여주는 작업입니다. 특히 후킹 선정, 장면 압축, 자막 톤, 보조 정보 처리, 업로드 후 회고까지 이어지는 제작 과정을 통해 영상편집 직무와 연결되는 컷 구성, 후킹, 자막 톤, 업로드 전 확인 사고를 보여줄 수 있습니다.</w:t>
      </w:r>
    </w:p>
    <w:sectPr>
      <w:pgSz w:w="11909" w:h="16834"/>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맑은 고딕" w:hAnsi="맑은 고딕" w:eastAsia="맑은 고딕"/>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배린이가 미치면 생기는 일 영상 기획안</dc:title>
  <dc:subject/>
  <dc:creator/>
  <cp:keywords/>
  <dc:description/>
  <cp:lastModifiedBy/>
  <cp:revision>1</cp:revision>
  <dcterms:created xsi:type="dcterms:W3CDTF">2013-12-23T23:15:00Z</dcterms:created>
  <dcterms:modified xsi:type="dcterms:W3CDTF">2013-12-23T23:15:00Z</dcterms:modified>
  <cp:category/>
</cp:coreProperties>
</file>