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Leadership Audience Profile — Acme Bottling Finance Review</w:t>
      </w:r>
    </w:p>
    <w:p>
      <w:r>
        <w:t>Use this to tailor tone, length, and level of detail for the executive outputs in this lab.</w:t>
      </w:r>
    </w:p>
    <w:p>
      <w:r>
        <w:rPr>
          <w:b/>
          <w:color w:val="1F3A5F"/>
          <w:sz w:val="28"/>
        </w:rPr>
        <w:t>Primary audience: Dana Whitfield, CFO</w:t>
      </w:r>
    </w:p>
    <w:p>
      <w:r>
        <w:t>• Wants the headline first: what moved, why, and what decision is needed.</w:t>
      </w:r>
    </w:p>
    <w:p>
      <w:r>
        <w:t>• Prefers one page. Trusts the numbers but always asks 'what's the assumption?'</w:t>
      </w:r>
    </w:p>
    <w:p>
      <w:r>
        <w:t>• Cares about margin, not just revenue. Flags anything unverified before the board meeting.</w:t>
      </w:r>
    </w:p>
    <w:p>
      <w:r>
        <w:rPr>
          <w:b/>
          <w:color w:val="1F3A5F"/>
          <w:sz w:val="28"/>
        </w:rPr>
        <w:t>Secondary audience: Regional GMs</w:t>
      </w:r>
    </w:p>
    <w:p>
      <w:r>
        <w:t>• Want their region's variance explained in plain terms and a clear next step.</w:t>
      </w:r>
    </w:p>
    <w:p>
      <w:r>
        <w:rPr>
          <w:b/>
          <w:color w:val="1F3A5F"/>
          <w:sz w:val="28"/>
        </w:rPr>
        <w:t>What 'good' looks like</w:t>
      </w:r>
    </w:p>
    <w:p>
      <w:r>
        <w:t>• Plain English, no jargon. Lead with the risk. Name the source. Separate fact from estimate.</w:t>
      </w:r>
    </w:p>
    <w:p>
      <w:r>
        <w:t>• Every number that isn't confirmed is labeled as an estimate pending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Randy Pagels</dc:creator>
  <keywords/>
  <dc:description>generated by python-docx</dc:description>
  <lastModifiedBy>Randy Pagels</lastModifiedBy>
  <revision>1</revision>
  <dcterms:created xsi:type="dcterms:W3CDTF">2026-08-24T20:35:11.7274764Z</dcterms:created>
  <dcterms:modified xsi:type="dcterms:W3CDTF">2026-08-24T20:35:11.7274764Z</dcterms:modified>
  <category/>
</coreProperties>
</file>