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InvestEngland</w:t>
        <w:br/>
      </w:r>
      <w:r>
        <w:rPr>
          <w:color w:val="304E78"/>
          <w:sz w:val="40"/>
        </w:rPr>
        <w:t>Repository Review &amp; Architecture Summary</w:t>
      </w:r>
    </w:p>
    <w:p>
      <w:pPr>
        <w:jc w:val="center"/>
      </w:pPr>
      <w:r>
        <w:rPr>
          <w:i/>
          <w:color w:val="5A5A5A"/>
        </w:rPr>
        <w:t>Based on repository documentation reviewed at commit 58fbc761</w:t>
      </w:r>
    </w:p>
    <w:p>
      <w:r>
        <w:t>This document summarises the review of 00-index.md, 01-architecture.md and 02-data-model.md, together with the architecture views derived from that evidence.</w:t>
      </w:r>
    </w:p>
    <w:p>
      <w:pPr>
        <w:pStyle w:val="Heading1"/>
      </w:pPr>
      <w:r>
        <w:t>1. Overall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F5E9"/>
          </w:tcPr>
          <w:p>
            <w:r/>
            <w:r>
              <w:rPr>
                <w:b/>
                <w:sz w:val="20"/>
              </w:rPr>
              <w:t>Strong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Evidence-driven, reproducible documentation. Claims are explicitly separated into verified and assumed findings.</w:t>
            </w:r>
          </w:p>
        </w:tc>
      </w:tr>
      <w:tr>
        <w:tc>
          <w:tcPr>
            <w:tcW w:type="dxa" w:w="5184"/>
            <w:shd w:fill="E3F2FD"/>
          </w:tcPr>
          <w:p>
            <w:r/>
            <w:r>
              <w:rPr>
                <w:b/>
                <w:sz w:val="20"/>
              </w:rPr>
              <w:t>Useful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The documentation identifies consequential architectural seams rather than merely listing components.</w:t>
            </w:r>
          </w:p>
        </w:tc>
      </w:tr>
      <w:tr>
        <w:tc>
          <w:tcPr>
            <w:tcW w:type="dxa" w:w="5184"/>
            <w:shd w:fill="FFF3E0"/>
          </w:tcPr>
          <w:p>
            <w:r/>
            <w:r>
              <w:rPr>
                <w:b/>
                <w:sz w:val="20"/>
              </w:rPr>
              <w:t>Weakness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Important review findings can be buried in long narrative sections and are not consistently prioritised by severity.</w:t>
            </w:r>
          </w:p>
        </w:tc>
      </w:tr>
      <w:tr>
        <w:tc>
          <w:tcPr>
            <w:tcW w:type="dxa" w:w="5184"/>
            <w:shd w:fill="FCE4EC"/>
          </w:tcPr>
          <w:p>
            <w:r/>
            <w:r>
              <w:rPr>
                <w:b/>
                <w:sz w:val="20"/>
              </w:rPr>
              <w:t>Main gap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A concise review-level summary is missing: top findings, impact, priority, recommended action, owner/status.</w:t>
            </w:r>
          </w:p>
        </w:tc>
      </w:tr>
    </w:tbl>
    <w:p>
      <w:pPr>
        <w:pStyle w:val="Heading1"/>
      </w:pPr>
      <w:r>
        <w:t>2. What is good</w:t>
      </w:r>
    </w:p>
    <w:p>
      <w:pPr>
        <w:pStyle w:val="ListBullet"/>
      </w:pPr>
      <w:r>
        <w:t>Claims are pinned to a specific commit and distinguish [verified] from [assumed].</w:t>
      </w:r>
    </w:p>
    <w:p>
      <w:pPr>
        <w:pStyle w:val="ListBullet"/>
      </w:pPr>
      <w:r>
        <w:t>Architecture and data-model concerns are separated cleanly, with planned follow-on documents for APIs, dependencies, deployment and testing.</w:t>
      </w:r>
    </w:p>
    <w:p>
      <w:pPr>
        <w:pStyle w:val="ListBullet"/>
      </w:pPr>
      <w:r>
        <w:t>The BFF seam is explained as a design decision: mutations go through the API while reads may query Postgres directly using a read-only credential.</w:t>
      </w:r>
    </w:p>
    <w:p>
      <w:pPr>
        <w:pStyle w:val="ListBullet"/>
      </w:pPr>
      <w:r>
        <w:t>The review surfaces structural issues that matter in practice: circular dependencies, RLS coverage gaps, missing primary keys/indexes, migration inconsistencies and view/RLS behaviour.</w:t>
      </w:r>
    </w:p>
    <w:p>
      <w:pPr>
        <w:pStyle w:val="ListBullet"/>
      </w:pPr>
      <w:r>
        <w:t>Where code cannot establish intent, the documentation turns the uncertainty into an explicit question for maintainers rather than inventing rationale.</w:t>
      </w:r>
    </w:p>
    <w:p>
      <w:pPr>
        <w:pStyle w:val="Heading1"/>
      </w:pPr>
      <w:r>
        <w:t>3. What could improve</w:t>
      </w:r>
    </w:p>
    <w:p>
      <w:pPr>
        <w:pStyle w:val="ListBullet"/>
      </w:pPr>
      <w:r>
        <w:t>Separate 'how the system works' from 'review findings / risks'. At present these are interwoven.</w:t>
      </w:r>
    </w:p>
    <w:p>
      <w:pPr>
        <w:pStyle w:val="ListBullet"/>
      </w:pPr>
      <w:r>
        <w:t>Add severity and priority. A one-line import issue and a possible tenant-isolation issue should not read with the same visual weight.</w:t>
      </w:r>
    </w:p>
    <w:p>
      <w:pPr>
        <w:pStyle w:val="ListBullet"/>
      </w:pPr>
      <w:r>
        <w:t>Reduce duplicate treatment of tenancy/RLS and database principals across architecture and data-model documents.</w:t>
      </w:r>
    </w:p>
    <w:p>
      <w:pPr>
        <w:pStyle w:val="ListBullet"/>
      </w:pPr>
      <w:r>
        <w:t>Move detailed counts and forensic evidence into appendices or linked evidence notes where possible.</w:t>
      </w:r>
    </w:p>
    <w:p>
      <w:pPr>
        <w:pStyle w:val="ListBullet"/>
      </w:pPr>
      <w:r>
        <w:t>Use diagrams more aggressively for the BFF read/write split, tenant/RLS flow, integration resolution and database inheritance.</w:t>
      </w:r>
    </w:p>
    <w:p>
      <w:pPr>
        <w:pStyle w:val="Heading1"/>
      </w:pPr>
      <w:r>
        <w:t>4. Architecture characterisation</w:t>
      </w:r>
    </w:p>
    <w:p>
      <w:r>
        <w:t>The backend is best described as a layered/onion-style architecture with some strong hexagonal characteristics, especially around integrations. It is not a clean textbook implementation of either pattern.</w:t>
      </w:r>
    </w:p>
    <w:p>
      <w:pPr>
        <w:pStyle w:val="ListBullet"/>
      </w:pPr>
      <w:r>
        <w:t>Backend dependency direction: api/endpoints -&gt; foundational -&gt; unrest -&gt; Postgres/Redis.</w:t>
      </w:r>
    </w:p>
    <w:p>
      <w:pPr>
        <w:pStyle w:val="ListBullet"/>
      </w:pPr>
      <w:r>
        <w:t>foundational contains most of the domain logic.</w:t>
      </w:r>
    </w:p>
    <w:p>
      <w:pPr>
        <w:pStyle w:val="ListBullet"/>
      </w:pPr>
      <w:r>
        <w:t>The integrations seam is strongly port-and-adapter-like: domain-facing service interfaces resolve to provider implementations at runtime.</w:t>
      </w:r>
    </w:p>
    <w:p>
      <w:pPr>
        <w:pStyle w:val="ListBullet"/>
      </w:pPr>
      <w:r>
        <w:t>The direct BFF-to-Postgres read path weakens a strict hexagonal interpretation because the database schema itself becomes a frontend-facing interface.</w:t>
      </w:r>
    </w:p>
    <w:p>
      <w:pPr>
        <w:pStyle w:val="Heading1"/>
      </w:pPr>
      <w:r>
        <w:t>5. Key architectural findings</w:t>
      </w:r>
    </w:p>
    <w:p>
      <w:pPr>
        <w:pStyle w:val="ListBullet"/>
      </w:pPr>
      <w:r>
        <w:rPr>
          <w:b/>
        </w:rPr>
        <w:t xml:space="preserve">BFF seam: </w:t>
      </w:r>
      <w:r>
        <w:t>Reads may bypass the API and query Postgres directly; mutations are forced through the API.</w:t>
      </w:r>
    </w:p>
    <w:p>
      <w:pPr>
        <w:pStyle w:val="ListBullet"/>
      </w:pPr>
      <w:r>
        <w:rPr>
          <w:b/>
        </w:rPr>
        <w:t xml:space="preserve">Tenancy: </w:t>
      </w:r>
      <w:r>
        <w:t>Tenant isolation is primarily enforced in Postgres using tenant_id + owner_id and session RLS context.</w:t>
      </w:r>
    </w:p>
    <w:p>
      <w:pPr>
        <w:pStyle w:val="ListBullet"/>
      </w:pPr>
      <w:r>
        <w:rPr>
          <w:b/>
        </w:rPr>
        <w:t xml:space="preserve">Integrations: </w:t>
      </w:r>
      <w:r>
        <w:t>Provider selection is runtime and tenant-specific; domain code does not directly depend on vendor SDKs.</w:t>
      </w:r>
    </w:p>
    <w:p>
      <w:pPr>
        <w:pStyle w:val="ListBullet"/>
      </w:pPr>
      <w:r>
        <w:rPr>
          <w:b/>
        </w:rPr>
        <w:t xml:space="preserve">Async: </w:t>
      </w:r>
      <w:r>
        <w:t>Taskiq over Redis carries request context into workers; broker and scheduler use the same image with different commands.</w:t>
      </w:r>
    </w:p>
    <w:p>
      <w:pPr>
        <w:pStyle w:val="ListBullet"/>
      </w:pPr>
      <w:r>
        <w:rPr>
          <w:b/>
        </w:rPr>
        <w:t xml:space="preserve">Domain coupling: </w:t>
      </w:r>
      <w:r>
        <w:t>foundational contains several cross-area cycles, with entities acting as the main dependency hub.</w:t>
      </w:r>
    </w:p>
    <w:p>
      <w:pPr>
        <w:pStyle w:val="ListBullet"/>
      </w:pPr>
      <w:r>
        <w:rPr>
          <w:b/>
        </w:rPr>
        <w:t xml:space="preserve">Database inheritance: </w:t>
      </w:r>
      <w:r>
        <w:t>owned/entity inheritance gives consistent columns, but PKs, indexes, constraints and RLS do not propagate to child tables.</w:t>
      </w:r>
    </w:p>
    <w:p>
      <w:pPr>
        <w:pStyle w:val="ListBullet"/>
      </w:pPr>
      <w:r>
        <w:rPr>
          <w:b/>
        </w:rPr>
        <w:t xml:space="preserve">Critical review item: </w:t>
      </w:r>
      <w:r>
        <w:t>Views owned by admin may bypass underlying RLS unless security_invoker or FORCE ROW LEVEL SECURITY is used.</w:t>
      </w:r>
    </w:p>
    <w:p>
      <w:pPr>
        <w:pStyle w:val="ListBullet"/>
      </w:pPr>
      <w:r>
        <w:rPr>
          <w:b/>
        </w:rPr>
        <w:t xml:space="preserve">Integrity: </w:t>
      </w:r>
      <w:r>
        <w:t>Referential integrity is mostly application-enforced; the schema declares only one foreign key.</w:t>
      </w:r>
    </w:p>
    <w:p>
      <w:r>
        <w:br w:type="page"/>
      </w:r>
    </w:p>
    <w:p>
      <w:pPr>
        <w:pStyle w:val="Heading1"/>
      </w:pPr>
      <w:r>
        <w:t>6. Architecture views</w:t>
      </w:r>
    </w:p>
    <w:p>
      <w:r>
        <w:t>The following diagrams are conceptual views derived from the documented code and schema. They are intended for review, onboarding and stakeholder walkthroughs rather than as authoritative deployment IaC.</w:t>
      </w:r>
    </w:p>
    <w:p>
      <w:pPr>
        <w:pStyle w:val="Heading2"/>
      </w:pPr>
      <w:r>
        <w:t>Request /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561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stengland_system_data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561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Request / data flow</w:t>
      </w:r>
    </w:p>
    <w:p>
      <w:pPr>
        <w:pStyle w:val="Heading2"/>
      </w:pPr>
      <w:r>
        <w:t>Tenant / auth / RLS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834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stengland_tenant_auth_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83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Tenant / auth / RLS flow</w:t>
      </w:r>
    </w:p>
    <w:p>
      <w:pPr>
        <w:pStyle w:val="Heading2"/>
      </w:pPr>
      <w:r>
        <w:t>Conceptual ER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628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stengland_conceptual_er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Conceptual ER model</w:t>
      </w:r>
    </w:p>
    <w:p>
      <w:r>
        <w:br w:type="page"/>
      </w:r>
    </w:p>
    <w:p>
      <w:pPr>
        <w:pStyle w:val="Heading1"/>
      </w:pPr>
      <w:r>
        <w:t>7. Conceptual ER interpretation</w:t>
      </w:r>
    </w:p>
    <w:p>
      <w:r>
        <w:t>A literal foreign-key-derived ER diagram would be misleading because the database has only one declared foreign key. The useful view is therefore a conceptual model reconstructed from table names, inheritance and application usage.</w:t>
      </w:r>
    </w:p>
    <w:p>
      <w:r>
        <w:rPr>
          <w:b/>
        </w:rPr>
        <w:t xml:space="preserve">Core domain shape: </w:t>
      </w:r>
      <w:r>
        <w:t>Tenant -&gt; Organisation -&gt; Application -&gt; Project -&gt; Payments</w:t>
      </w:r>
    </w:p>
    <w:p>
      <w:pPr>
        <w:pStyle w:val="ListBullet"/>
      </w:pPr>
      <w:r>
        <w:t>Programme and Fund provide funding context around the core grant domain.</w:t>
      </w:r>
    </w:p>
    <w:p>
      <w:pPr>
        <w:pStyle w:val="ListBullet"/>
      </w:pPr>
      <w:r>
        <w:t>Formal data, audit/history, locations and the ledger act as supporting or cross-cutting data stores.</w:t>
      </w:r>
    </w:p>
    <w:p>
      <w:pPr>
        <w:pStyle w:val="ListBullet"/>
      </w:pPr>
      <w:r>
        <w:t>Most lines in the conceptual ER represent logical/application relationships, not PostgreSQL foreign-key constraints.</w:t>
      </w:r>
    </w:p>
    <w:p>
      <w:pPr>
        <w:pStyle w:val="ListBullet"/>
      </w:pPr>
      <w:r>
        <w:t>Exact cardinalities cannot be asserted from the current documentation alone and should remain conceptual until validated against the code paths or maintainers.</w:t>
      </w:r>
    </w:p>
    <w:p>
      <w:pPr>
        <w:pStyle w:val="Heading1"/>
      </w:pPr>
      <w:r>
        <w:t>8. Recommended next documentation step</w:t>
      </w:r>
    </w:p>
    <w:p>
      <w:r>
        <w:t>Add a short REVIEW.md above the detailed documentation. It should contain the top 5-10 findings, severity, consequence, evidence link, recommended action and owner/status. The detailed architecture and data-model documents can then remain the evidence base rather than carrying the prioritisation burden.</w:t>
      </w:r>
    </w:p>
    <w:p>
      <w:pPr>
        <w:pStyle w:val="Heading2"/>
      </w:pPr>
      <w:r>
        <w:t>Source material</w:t>
      </w:r>
    </w:p>
    <w:p>
      <w:pPr>
        <w:pStyle w:val="ListBullet"/>
      </w:pPr>
      <w:r>
        <w:t>00-index.md - documentation index and review status</w:t>
      </w:r>
    </w:p>
    <w:p>
      <w:pPr>
        <w:pStyle w:val="ListBullet"/>
      </w:pPr>
      <w:r>
        <w:t>01-architecture.md - runtime topology, layering, BFF seam, tenancy, integrations, async work and structural boundaries</w:t>
      </w:r>
    </w:p>
    <w:p>
      <w:pPr>
        <w:pStyle w:val="ListBullet"/>
      </w:pPr>
      <w:r>
        <w:t>02-data-model.md - schema inventory, inheritance, RLS reach, views, integrity, formal store, ledger and migrations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