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widowControl w:val="fals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center"/>
        <w:rPr>
          <w:rFonts w:ascii="宋体" w:hAnsi="宋体" w:cs="宋体" w:eastAsia="宋体"/>
          <w:color w:val="auto"/>
          <w:spacing w:val="0"/>
          <w:position w:val="0"/>
          <w:sz w:val="52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52"/>
          <w:shd w:fill="auto" w:val="clear"/>
        </w:rPr>
        <w:t xml:space="preserve">福 建 理 工 大 学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object w:dxaOrig="6480" w:dyaOrig="1592">
          <v:rect xmlns:o="urn:schemas-microsoft-com:office:office" xmlns:v="urn:schemas-microsoft-com:vml" id="rectole0000000000" style="width:324.000000pt;height:79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</w:p>
    <w:p>
      <w:pPr>
        <w:widowControl w:val="false"/>
        <w:spacing w:before="0" w:after="0" w:line="240"/>
        <w:ind w:right="0" w:left="0" w:firstLine="2880"/>
        <w:jc w:val="left"/>
        <w:rPr>
          <w:rFonts w:ascii="楷体" w:hAnsi="楷体" w:cs="楷体" w:eastAsia="楷体"/>
          <w:color w:val="auto"/>
          <w:spacing w:val="0"/>
          <w:position w:val="0"/>
          <w:sz w:val="36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36"/>
          <w:shd w:fill="auto" w:val="clear"/>
        </w:rPr>
        <w:t xml:space="preserve">专业：</w:t>
      </w:r>
      <w:r>
        <w:rPr>
          <w:rFonts w:ascii="楷体" w:hAnsi="楷体" w:cs="楷体" w:eastAsia="楷体"/>
          <w:color w:val="auto"/>
          <w:spacing w:val="0"/>
          <w:position w:val="0"/>
          <w:sz w:val="36"/>
          <w:u w:val="single"/>
          <w:shd w:fill="auto" w:val="clear"/>
        </w:rPr>
        <w:t xml:space="preserve">网络空间安全  </w:t>
      </w:r>
    </w:p>
    <w:p>
      <w:pPr>
        <w:widowControl w:val="false"/>
        <w:spacing w:before="0" w:after="0" w:line="240"/>
        <w:ind w:right="0" w:left="0" w:firstLine="2880"/>
        <w:jc w:val="left"/>
        <w:rPr>
          <w:rFonts w:ascii="楷体" w:hAnsi="楷体" w:cs="楷体" w:eastAsia="楷体"/>
          <w:color w:val="auto"/>
          <w:spacing w:val="0"/>
          <w:position w:val="0"/>
          <w:sz w:val="36"/>
          <w:u w:val="single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36"/>
          <w:shd w:fill="auto" w:val="clear"/>
        </w:rPr>
        <w:t xml:space="preserve">班级：</w:t>
      </w:r>
      <w:r>
        <w:rPr>
          <w:rFonts w:ascii="楷体" w:hAnsi="楷体" w:cs="楷体" w:eastAsia="楷体"/>
          <w:color w:val="auto"/>
          <w:spacing w:val="0"/>
          <w:position w:val="0"/>
          <w:sz w:val="36"/>
          <w:u w:val="single"/>
          <w:shd w:fill="auto" w:val="clear"/>
        </w:rPr>
        <w:t xml:space="preserve">网安2202      </w:t>
      </w:r>
    </w:p>
    <w:p>
      <w:pPr>
        <w:widowControl w:val="false"/>
        <w:spacing w:before="0" w:after="0" w:line="240"/>
        <w:ind w:right="0" w:left="0" w:firstLine="2880"/>
        <w:jc w:val="left"/>
        <w:rPr>
          <w:rFonts w:ascii="楷体" w:hAnsi="楷体" w:cs="楷体" w:eastAsia="楷体"/>
          <w:color w:val="auto"/>
          <w:spacing w:val="0"/>
          <w:position w:val="0"/>
          <w:sz w:val="36"/>
          <w:u w:val="single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36"/>
          <w:shd w:fill="auto" w:val="clear"/>
        </w:rPr>
        <w:t xml:space="preserve">学号：</w:t>
      </w:r>
      <w:r>
        <w:rPr>
          <w:rFonts w:ascii="楷体" w:hAnsi="楷体" w:cs="楷体" w:eastAsia="楷体"/>
          <w:color w:val="auto"/>
          <w:spacing w:val="0"/>
          <w:position w:val="0"/>
          <w:sz w:val="36"/>
          <w:u w:val="single"/>
          <w:shd w:fill="auto" w:val="clear"/>
        </w:rPr>
        <w:t xml:space="preserve"> 3220812128    </w:t>
      </w:r>
    </w:p>
    <w:p>
      <w:pPr>
        <w:widowControl w:val="false"/>
        <w:spacing w:before="0" w:after="0" w:line="240"/>
        <w:ind w:right="0" w:left="0" w:firstLine="2880"/>
        <w:jc w:val="left"/>
        <w:rPr>
          <w:rFonts w:ascii="楷体" w:hAnsi="楷体" w:cs="楷体" w:eastAsia="楷体"/>
          <w:color w:val="auto"/>
          <w:spacing w:val="0"/>
          <w:position w:val="0"/>
          <w:sz w:val="36"/>
          <w:shd w:fill="auto" w:val="clear"/>
        </w:rPr>
      </w:pPr>
      <w:r>
        <w:rPr>
          <w:rFonts w:ascii="楷体" w:hAnsi="楷体" w:cs="楷体" w:eastAsia="楷体"/>
          <w:color w:val="auto"/>
          <w:spacing w:val="0"/>
          <w:position w:val="0"/>
          <w:sz w:val="36"/>
          <w:shd w:fill="auto" w:val="clear"/>
        </w:rPr>
        <w:t xml:space="preserve">姓名：</w:t>
      </w:r>
      <w:r>
        <w:rPr>
          <w:rFonts w:ascii="楷体" w:hAnsi="楷体" w:cs="楷体" w:eastAsia="楷体"/>
          <w:color w:val="auto"/>
          <w:spacing w:val="0"/>
          <w:position w:val="0"/>
          <w:sz w:val="36"/>
          <w:u w:val="single"/>
          <w:shd w:fill="auto" w:val="clear"/>
        </w:rPr>
        <w:t xml:space="preserve"> 章百琪         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 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</w:p>
    <w:p>
      <w:pPr>
        <w:widowControl w:val="false"/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</w:p>
    <w:p>
      <w:pPr>
        <w:tabs>
          <w:tab w:val="left" w:pos="696" w:leader="none"/>
        </w:tabs>
        <w:spacing w:before="1" w:after="0" w:line="240"/>
        <w:ind w:right="0" w:left="695" w:hanging="542"/>
        <w:jc w:val="center"/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36"/>
          <w:shd w:fill="auto" w:val="clear"/>
        </w:rPr>
        <w:t xml:space="preserve">防火墙</w:t>
      </w:r>
      <w:r>
        <w:rPr>
          <w:rFonts w:ascii="Arial" w:hAnsi="Arial" w:cs="Arial" w:eastAsia="Arial"/>
          <w:color w:val="auto"/>
          <w:spacing w:val="0"/>
          <w:position w:val="0"/>
          <w:sz w:val="36"/>
          <w:shd w:fill="auto" w:val="clear"/>
        </w:rPr>
        <w:t xml:space="preserve">NAT</w:t>
      </w:r>
      <w:r>
        <w:rPr>
          <w:rFonts w:ascii="宋体" w:hAnsi="宋体" w:cs="宋体" w:eastAsia="宋体"/>
          <w:color w:val="auto"/>
          <w:spacing w:val="0"/>
          <w:position w:val="0"/>
          <w:sz w:val="36"/>
          <w:shd w:fill="auto" w:val="clear"/>
        </w:rPr>
        <w:t xml:space="preserve">实验</w:t>
      </w:r>
    </w:p>
    <w:p>
      <w:pPr>
        <w:numPr>
          <w:ilvl w:val="0"/>
          <w:numId w:val="9"/>
        </w:numPr>
        <w:tabs>
          <w:tab w:val="left" w:pos="696" w:leader="none"/>
        </w:tabs>
        <w:spacing w:before="1" w:after="0" w:line="240"/>
        <w:ind w:right="0" w:left="873" w:hanging="72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30"/>
          <w:shd w:fill="auto" w:val="clear"/>
        </w:rPr>
        <w:t xml:space="preserve">实验目的</w:t>
      </w:r>
    </w:p>
    <w:p>
      <w:pPr>
        <w:spacing w:before="1" w:after="0" w:line="240"/>
        <w:ind w:right="0" w:left="240" w:firstLine="684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理解源 NAT 应用场景及原理。</w:t>
      </w:r>
    </w:p>
    <w:p>
      <w:pPr>
        <w:spacing w:before="1" w:after="0" w:line="240"/>
        <w:ind w:right="0" w:left="240" w:firstLine="684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理解 NAT Server 应用场景及原理。</w:t>
      </w:r>
    </w:p>
    <w:p>
      <w:pPr>
        <w:spacing w:before="1" w:after="0" w:line="240"/>
        <w:ind w:right="0" w:left="240" w:firstLine="684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掌握通过命令行和 web 方式配置防火墙NAT Server &amp; 源 NAT 命令。</w:t>
      </w:r>
    </w:p>
    <w:p>
      <w:pPr>
        <w:tabs>
          <w:tab w:val="left" w:pos="696" w:leader="none"/>
        </w:tabs>
        <w:spacing w:before="1" w:after="0" w:line="240"/>
        <w:ind w:right="0" w:left="873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2"/>
        </w:numPr>
        <w:tabs>
          <w:tab w:val="left" w:pos="696" w:leader="none"/>
        </w:tabs>
        <w:spacing w:before="1" w:after="0" w:line="240"/>
        <w:ind w:right="0" w:left="873" w:hanging="72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30"/>
          <w:shd w:fill="auto" w:val="clear"/>
        </w:rPr>
        <w:t xml:space="preserve">实验内容</w:t>
      </w:r>
    </w:p>
    <w:p>
      <w:pPr>
        <w:tabs>
          <w:tab w:val="left" w:pos="696" w:leader="none"/>
        </w:tabs>
        <w:spacing w:before="1" w:after="0" w:line="240"/>
        <w:ind w:right="0" w:left="152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、</w:t>
      </w:r>
    </w:p>
    <w:p>
      <w:pPr>
        <w:spacing w:before="6" w:after="0" w:line="240"/>
        <w:ind w:right="0" w:left="0" w:firstLine="36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11891" w:dyaOrig="2826">
          <v:rect xmlns:o="urn:schemas-microsoft-com:office:office" xmlns:v="urn:schemas-microsoft-com:vml" id="rectole0000000001" style="width:594.550000pt;height:141.3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6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1227"/>
        <w:gridCol w:w="1767"/>
        <w:gridCol w:w="2022"/>
        <w:gridCol w:w="3575"/>
      </w:tblGrid>
      <w:tr>
        <w:trPr>
          <w:trHeight w:val="478" w:hRule="auto"/>
          <w:jc w:val="center"/>
        </w:trPr>
        <w:tc>
          <w:tcPr>
            <w:tcW w:w="1227" w:type="dxa"/>
            <w:tcBorders>
              <w:top w:val="single" w:color="000000" w:sz="10"/>
              <w:left w:val="single" w:color="000000" w:sz="10"/>
              <w:bottom w:val="single" w:color="000000" w:sz="4"/>
              <w:right w:val="single" w:color="000000" w:sz="4"/>
            </w:tcBorders>
            <w:shd w:color="auto" w:fill="d9d9d9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46"/>
              <w:ind w:right="0" w:left="182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设备名称</w:t>
            </w:r>
          </w:p>
        </w:tc>
        <w:tc>
          <w:tcPr>
            <w:tcW w:w="1767" w:type="dxa"/>
            <w:tcBorders>
              <w:top w:val="single" w:color="000000" w:sz="10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46"/>
              <w:ind w:right="644" w:left="648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接口</w:t>
            </w:r>
          </w:p>
        </w:tc>
        <w:tc>
          <w:tcPr>
            <w:tcW w:w="2022" w:type="dxa"/>
            <w:tcBorders>
              <w:top w:val="single" w:color="000000" w:sz="10"/>
              <w:left w:val="single" w:color="000000" w:sz="4"/>
              <w:bottom w:val="single" w:color="000000" w:sz="4"/>
              <w:right w:val="single" w:color="000000" w:sz="4"/>
            </w:tcBorders>
            <w:shd w:color="auto" w:fill="d9d9d9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46"/>
              <w:ind w:right="672" w:left="676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IP</w:t>
            </w:r>
            <w:r>
              <w:rPr>
                <w:rFonts w:ascii="宋体" w:hAnsi="宋体" w:cs="宋体" w:eastAsia="宋体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地址</w:t>
            </w:r>
          </w:p>
        </w:tc>
        <w:tc>
          <w:tcPr>
            <w:tcW w:w="3575" w:type="dxa"/>
            <w:tcBorders>
              <w:top w:val="single" w:color="000000" w:sz="10"/>
              <w:left w:val="single" w:color="000000" w:sz="4"/>
              <w:bottom w:val="single" w:color="000000" w:sz="4"/>
              <w:right w:val="single" w:color="000000" w:sz="10"/>
            </w:tcBorders>
            <w:shd w:color="auto" w:fill="d9d9d9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346"/>
              <w:ind w:right="1542" w:left="1551" w:firstLine="0"/>
              <w:jc w:val="center"/>
              <w:rPr>
                <w:rFonts w:ascii="宋体" w:hAnsi="宋体" w:cs="宋体" w:eastAsia="宋体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宋体" w:hAnsi="宋体" w:cs="宋体" w:eastAsia="宋体"/>
                <w:b/>
                <w:color w:val="auto"/>
                <w:spacing w:val="0"/>
                <w:position w:val="0"/>
                <w:sz w:val="21"/>
                <w:shd w:fill="auto" w:val="clear"/>
              </w:rPr>
              <w:t xml:space="preserve">区域</w:t>
            </w:r>
          </w:p>
        </w:tc>
      </w:tr>
      <w:tr>
        <w:trPr>
          <w:trHeight w:val="413" w:hRule="auto"/>
          <w:jc w:val="center"/>
        </w:trPr>
        <w:tc>
          <w:tcPr>
            <w:tcW w:w="1227" w:type="dxa"/>
            <w:vMerge w:val="restart"/>
            <w:tcBorders>
              <w:top w:val="single" w:color="000000" w:sz="4"/>
              <w:left w:val="single" w:color="000000" w:sz="10"/>
              <w:bottom w:val="single" w:color="000000" w:sz="0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Microsoft JhengHei" w:hAnsi="Microsoft JhengHei" w:cs="Microsoft JhengHei" w:eastAsia="Microsoft JhengHei"/>
                <w:b/>
                <w:color w:val="auto"/>
                <w:spacing w:val="0"/>
                <w:position w:val="0"/>
                <w:sz w:val="16"/>
                <w:shd w:fill="auto" w:val="clear"/>
              </w:rPr>
            </w:pPr>
          </w:p>
          <w:p>
            <w:pPr>
              <w:spacing w:before="0" w:after="0" w:line="240"/>
              <w:ind w:right="0" w:left="95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USG6000V</w:t>
            </w:r>
          </w:p>
        </w:tc>
        <w:tc>
          <w:tcPr>
            <w:tcW w:w="17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105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G1/0/0</w:t>
            </w:r>
          </w:p>
        </w:tc>
        <w:tc>
          <w:tcPr>
            <w:tcW w:w="2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10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10.1.1.1</w:t>
            </w:r>
          </w:p>
        </w:tc>
        <w:tc>
          <w:tcPr>
            <w:tcW w:w="3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105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DMZ</w:t>
            </w:r>
          </w:p>
        </w:tc>
      </w:tr>
      <w:tr>
        <w:trPr>
          <w:trHeight w:val="418" w:hRule="auto"/>
          <w:jc w:val="center"/>
        </w:trPr>
        <w:tc>
          <w:tcPr>
            <w:tcW w:w="1227" w:type="dxa"/>
            <w:vMerge/>
            <w:tcBorders>
              <w:top w:val="single" w:color="000000" w:sz="0"/>
              <w:left w:val="single" w:color="000000" w:sz="10"/>
              <w:bottom w:val="single" w:color="000000" w:sz="0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105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G1/0/1</w:t>
            </w:r>
          </w:p>
        </w:tc>
        <w:tc>
          <w:tcPr>
            <w:tcW w:w="2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10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10.1.2.1</w:t>
            </w:r>
          </w:p>
        </w:tc>
        <w:tc>
          <w:tcPr>
            <w:tcW w:w="3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105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Trust</w:t>
            </w:r>
          </w:p>
        </w:tc>
      </w:tr>
      <w:tr>
        <w:trPr>
          <w:trHeight w:val="418" w:hRule="auto"/>
          <w:jc w:val="center"/>
        </w:trPr>
        <w:tc>
          <w:tcPr>
            <w:tcW w:w="1227" w:type="dxa"/>
            <w:vMerge/>
            <w:tcBorders>
              <w:top w:val="single" w:color="000000" w:sz="0"/>
              <w:left w:val="single" w:color="000000" w:sz="1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widowControl w:val="false"/>
              <w:spacing w:before="0" w:after="0" w:line="240"/>
              <w:ind w:right="0" w:left="0" w:firstLine="0"/>
              <w:jc w:val="left"/>
              <w:rPr>
                <w:rFonts w:ascii="宋体" w:hAnsi="宋体" w:cs="宋体" w:eastAsia="宋体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105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G1/0/4</w:t>
            </w:r>
          </w:p>
        </w:tc>
        <w:tc>
          <w:tcPr>
            <w:tcW w:w="2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10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40.1.1.1</w:t>
            </w:r>
          </w:p>
        </w:tc>
        <w:tc>
          <w:tcPr>
            <w:tcW w:w="3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105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Untrust</w:t>
            </w:r>
          </w:p>
        </w:tc>
      </w:tr>
      <w:tr>
        <w:trPr>
          <w:trHeight w:val="413" w:hRule="auto"/>
          <w:jc w:val="center"/>
        </w:trPr>
        <w:tc>
          <w:tcPr>
            <w:tcW w:w="1227" w:type="dxa"/>
            <w:tcBorders>
              <w:top w:val="single" w:color="000000" w:sz="4"/>
              <w:left w:val="single" w:color="000000" w:sz="1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95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PC1</w:t>
            </w:r>
          </w:p>
        </w:tc>
        <w:tc>
          <w:tcPr>
            <w:tcW w:w="17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105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E0/0/1</w:t>
            </w:r>
          </w:p>
        </w:tc>
        <w:tc>
          <w:tcPr>
            <w:tcW w:w="2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10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10.1.2.100</w:t>
            </w:r>
          </w:p>
        </w:tc>
        <w:tc>
          <w:tcPr>
            <w:tcW w:w="3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105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Trust</w:t>
            </w:r>
          </w:p>
        </w:tc>
      </w:tr>
      <w:tr>
        <w:trPr>
          <w:trHeight w:val="413" w:hRule="auto"/>
          <w:jc w:val="center"/>
        </w:trPr>
        <w:tc>
          <w:tcPr>
            <w:tcW w:w="1227" w:type="dxa"/>
            <w:tcBorders>
              <w:top w:val="single" w:color="000000" w:sz="4"/>
              <w:left w:val="single" w:color="000000" w:sz="1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95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PC2</w:t>
            </w:r>
          </w:p>
        </w:tc>
        <w:tc>
          <w:tcPr>
            <w:tcW w:w="17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105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E0/0/1</w:t>
            </w:r>
          </w:p>
        </w:tc>
        <w:tc>
          <w:tcPr>
            <w:tcW w:w="2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10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40.1.1.100</w:t>
            </w:r>
          </w:p>
        </w:tc>
        <w:tc>
          <w:tcPr>
            <w:tcW w:w="3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105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Untrust</w:t>
            </w:r>
          </w:p>
        </w:tc>
      </w:tr>
      <w:tr>
        <w:trPr>
          <w:trHeight w:val="413" w:hRule="auto"/>
          <w:jc w:val="center"/>
        </w:trPr>
        <w:tc>
          <w:tcPr>
            <w:tcW w:w="1227" w:type="dxa"/>
            <w:tcBorders>
              <w:top w:val="single" w:color="000000" w:sz="4"/>
              <w:left w:val="single" w:color="000000" w:sz="10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95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Server</w:t>
            </w:r>
          </w:p>
        </w:tc>
        <w:tc>
          <w:tcPr>
            <w:tcW w:w="17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105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E0/0/1</w:t>
            </w:r>
          </w:p>
        </w:tc>
        <w:tc>
          <w:tcPr>
            <w:tcW w:w="2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10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10.1.1.100</w:t>
            </w:r>
          </w:p>
        </w:tc>
        <w:tc>
          <w:tcPr>
            <w:tcW w:w="35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0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72" w:after="0" w:line="240"/>
              <w:ind w:right="0" w:left="105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1"/>
                <w:shd w:fill="auto" w:val="clear"/>
              </w:rPr>
              <w:t xml:space="preserve">DMZ</w:t>
            </w:r>
          </w:p>
        </w:tc>
      </w:tr>
    </w:tbl>
    <w:p>
      <w:pPr>
        <w:tabs>
          <w:tab w:val="left" w:pos="696" w:leader="none"/>
        </w:tabs>
        <w:spacing w:before="1" w:after="0" w:line="240"/>
        <w:ind w:right="0" w:left="152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74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1）配置基本的 IP 地址和所属安全区域。</w:t>
      </w:r>
    </w:p>
    <w:p>
      <w:pPr>
        <w:tabs>
          <w:tab w:val="left" w:pos="696" w:leader="none"/>
        </w:tabs>
        <w:spacing w:before="1" w:after="0" w:line="240"/>
        <w:ind w:right="0" w:left="512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696" w:leader="none"/>
        </w:tabs>
        <w:spacing w:before="1" w:after="0" w:line="240"/>
        <w:ind w:right="0" w:left="512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PC1：</w:t>
      </w:r>
    </w:p>
    <w:p>
      <w:pPr>
        <w:tabs>
          <w:tab w:val="left" w:pos="696" w:leader="none"/>
        </w:tabs>
        <w:spacing w:before="1" w:after="0" w:line="240"/>
        <w:ind w:right="0" w:left="512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9747" w:dyaOrig="5764">
          <v:rect xmlns:o="urn:schemas-microsoft-com:office:office" xmlns:v="urn:schemas-microsoft-com:vml" id="rectole0000000002" style="width:487.350000pt;height:288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tabs>
          <w:tab w:val="left" w:pos="696" w:leader="none"/>
        </w:tabs>
        <w:spacing w:before="1" w:after="0" w:line="240"/>
        <w:ind w:right="0" w:left="512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PC2：</w:t>
      </w:r>
    </w:p>
    <w:p>
      <w:pPr>
        <w:tabs>
          <w:tab w:val="left" w:pos="696" w:leader="none"/>
        </w:tabs>
        <w:spacing w:before="1" w:after="0" w:line="240"/>
        <w:ind w:right="0" w:left="512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11589" w:dyaOrig="7396">
          <v:rect xmlns:o="urn:schemas-microsoft-com:office:office" xmlns:v="urn:schemas-microsoft-com:vml" id="rectole0000000003" style="width:579.450000pt;height:369.8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tabs>
          <w:tab w:val="left" w:pos="696" w:leader="none"/>
        </w:tabs>
        <w:spacing w:before="1" w:after="0" w:line="240"/>
        <w:ind w:right="0" w:left="512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FW:</w:t>
      </w:r>
    </w:p>
    <w:p>
      <w:pPr>
        <w:tabs>
          <w:tab w:val="left" w:pos="696" w:leader="none"/>
        </w:tabs>
        <w:spacing w:before="1" w:after="0" w:line="240"/>
        <w:ind w:right="0" w:left="512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  <w:r>
        <w:object w:dxaOrig="11882" w:dyaOrig="8098">
          <v:rect xmlns:o="urn:schemas-microsoft-com:office:office" xmlns:v="urn:schemas-microsoft-com:vml" id="rectole0000000004" style="width:594.100000pt;height:404.9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tabs>
          <w:tab w:val="left" w:pos="696" w:leader="none"/>
        </w:tabs>
        <w:spacing w:before="1" w:after="0" w:line="240"/>
        <w:ind w:right="0" w:left="512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spacing w:before="74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2）配置</w:t>
      </w:r>
      <w:r>
        <w:rPr>
          <w:rFonts w:ascii="宋体" w:hAnsi="宋体" w:cs="宋体" w:eastAsia="宋体"/>
          <w:color w:val="auto"/>
          <w:spacing w:val="-61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Trust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区域和</w:t>
      </w:r>
      <w:r>
        <w:rPr>
          <w:rFonts w:ascii="宋体" w:hAnsi="宋体" w:cs="宋体" w:eastAsia="宋体"/>
          <w:color w:val="auto"/>
          <w:spacing w:val="-61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Untrust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区域的域间转发策略。</w:t>
      </w:r>
    </w:p>
    <w:p>
      <w:pPr>
        <w:tabs>
          <w:tab w:val="left" w:pos="696" w:leader="none"/>
        </w:tabs>
        <w:spacing w:before="1" w:after="0" w:line="240"/>
        <w:ind w:right="0" w:left="152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696" w:leader="none"/>
        </w:tabs>
        <w:spacing w:before="1" w:after="0" w:line="240"/>
        <w:ind w:right="0" w:left="152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11882" w:dyaOrig="8098">
          <v:rect xmlns:o="urn:schemas-microsoft-com:office:office" xmlns:v="urn:schemas-microsoft-com:vml" id="rectole0000000005" style="width:594.100000pt;height:404.9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</w:p>
    <w:p>
      <w:pPr>
        <w:spacing w:before="74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3）配置</w:t>
      </w:r>
      <w:r>
        <w:rPr>
          <w:rFonts w:ascii="宋体" w:hAnsi="宋体" w:cs="宋体" w:eastAsia="宋体"/>
          <w:color w:val="auto"/>
          <w:spacing w:val="-64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NAT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地址池，公网地址范围为</w:t>
      </w:r>
      <w:r>
        <w:rPr>
          <w:rFonts w:ascii="宋体" w:hAnsi="宋体" w:cs="宋体" w:eastAsia="宋体"/>
          <w:color w:val="auto"/>
          <w:spacing w:val="-64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2.2.2.2-2.2.2.5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。</w:t>
      </w:r>
    </w:p>
    <w:p>
      <w:pPr>
        <w:spacing w:before="74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object w:dxaOrig="11882" w:dyaOrig="8098">
          <v:rect xmlns:o="urn:schemas-microsoft-com:office:office" xmlns:v="urn:schemas-microsoft-com:vml" id="rectole0000000006" style="width:594.100000pt;height:404.9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74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</w:p>
    <w:p>
      <w:pPr>
        <w:spacing w:before="74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4) 配置 NAT 策略。</w:t>
      </w:r>
    </w:p>
    <w:p>
      <w:pPr>
        <w:spacing w:before="74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object w:dxaOrig="11882" w:dyaOrig="8098">
          <v:rect xmlns:o="urn:schemas-microsoft-com:office:office" xmlns:v="urn:schemas-microsoft-com:vml" id="rectole0000000007" style="width:594.100000pt;height:404.9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  <w:t xml:space="preserve">5） PC1去pingPC2，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使用</w:t>
      </w:r>
      <w:r>
        <w:rPr>
          <w:rFonts w:ascii="宋体" w:hAnsi="宋体" w:cs="宋体" w:eastAsia="宋体"/>
          <w:color w:val="auto"/>
          <w:spacing w:val="-83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display firewall session table </w:t>
      </w:r>
      <w:r>
        <w:rPr>
          <w:rFonts w:ascii="宋体" w:hAnsi="宋体" w:cs="宋体" w:eastAsia="宋体"/>
          <w:color w:val="auto"/>
          <w:spacing w:val="4"/>
          <w:position w:val="0"/>
          <w:sz w:val="21"/>
          <w:shd w:fill="auto" w:val="clear"/>
        </w:rPr>
        <w:t xml:space="preserve">命令查看</w:t>
      </w:r>
      <w:r>
        <w:rPr>
          <w:rFonts w:ascii="Arial" w:hAnsi="Arial" w:cs="Arial" w:eastAsia="Arial"/>
          <w:color w:val="auto"/>
          <w:spacing w:val="4"/>
          <w:position w:val="0"/>
          <w:sz w:val="21"/>
          <w:shd w:fill="auto" w:val="clear"/>
        </w:rPr>
        <w:t xml:space="preserve">NAT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转换情况。</w:t>
      </w: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object w:dxaOrig="11882" w:dyaOrig="8098">
          <v:rect xmlns:o="urn:schemas-microsoft-com:office:office" xmlns:v="urn:schemas-microsoft-com:vml" id="rectole0000000008" style="width:594.100000pt;height:404.9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FFFF00" w:val="clear"/>
        </w:rPr>
      </w:pPr>
      <w:r>
        <w:rPr>
          <w:rFonts w:ascii="宋体" w:hAnsi="宋体" w:cs="宋体" w:eastAsia="宋体"/>
          <w:color w:val="auto"/>
          <w:spacing w:val="-5"/>
          <w:position w:val="0"/>
          <w:sz w:val="21"/>
          <w:shd w:fill="FFFF00" w:val="clear"/>
        </w:rPr>
        <w:t xml:space="preserve">WEB配置步骤：</w:t>
      </w: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</w:p>
    <w:p>
      <w:pPr>
        <w:spacing w:before="85" w:after="0" w:line="240"/>
        <w:ind w:right="0" w:left="1176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</w:p>
    <w:p>
      <w:pPr>
        <w:spacing w:before="85" w:after="0" w:line="240"/>
        <w:ind w:right="0" w:left="1176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</w:p>
    <w:p>
      <w:pPr>
        <w:tabs>
          <w:tab w:val="left" w:pos="696" w:leader="none"/>
        </w:tabs>
        <w:spacing w:before="1" w:after="0" w:line="240"/>
        <w:ind w:right="0" w:left="152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、</w:t>
      </w:r>
    </w:p>
    <w:p>
      <w:pPr>
        <w:tabs>
          <w:tab w:val="left" w:pos="696" w:leader="none"/>
        </w:tabs>
        <w:spacing w:before="1" w:after="0" w:line="240"/>
        <w:ind w:right="0" w:left="152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11016" w:dyaOrig="4148">
          <v:rect xmlns:o="urn:schemas-microsoft-com:office:office" xmlns:v="urn:schemas-microsoft-com:vml" id="rectole0000000009" style="width:550.800000pt;height:207.4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74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1）按照拓扑配置基本的 IP 地址等信息，并为防火墙接口设置所属安全区域。</w:t>
      </w: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  <w:t xml:space="preserve">Server：</w:t>
      </w: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  <w:r>
        <w:object w:dxaOrig="11883" w:dyaOrig="8232">
          <v:rect xmlns:o="urn:schemas-microsoft-com:office:office" xmlns:v="urn:schemas-microsoft-com:vml" id="rectole0000000010" style="width:594.150000pt;height:411.6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  <w:r>
        <w:object w:dxaOrig="11882" w:dyaOrig="8098">
          <v:rect xmlns:o="urn:schemas-microsoft-com:office:office" xmlns:v="urn:schemas-microsoft-com:vml" id="rectole0000000011" style="width:594.100000pt;height:404.9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</w:p>
    <w:p>
      <w:pPr>
        <w:spacing w:before="74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2）配置域间安全策略。</w:t>
      </w: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  <w:r>
        <w:object w:dxaOrig="11882" w:dyaOrig="8098">
          <v:rect xmlns:o="urn:schemas-microsoft-com:office:office" xmlns:v="urn:schemas-microsoft-com:vml" id="rectole0000000012" style="width:594.100000pt;height:404.9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</w:p>
    <w:p>
      <w:pPr>
        <w:spacing w:before="74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3）配置</w:t>
      </w:r>
      <w:r>
        <w:rPr>
          <w:rFonts w:ascii="宋体" w:hAnsi="宋体" w:cs="宋体" w:eastAsia="宋体"/>
          <w:color w:val="auto"/>
          <w:spacing w:val="-70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NAT server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。配置</w:t>
      </w:r>
      <w:r>
        <w:rPr>
          <w:rFonts w:ascii="宋体" w:hAnsi="宋体" w:cs="宋体" w:eastAsia="宋体"/>
          <w:color w:val="auto"/>
          <w:spacing w:val="-59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NAT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地址池。</w:t>
      </w: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  <w:r>
        <w:object w:dxaOrig="11882" w:dyaOrig="8098">
          <v:rect xmlns:o="urn:schemas-microsoft-com:office:office" xmlns:v="urn:schemas-microsoft-com:vml" id="rectole0000000013" style="width:594.100000pt;height:404.9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</w:p>
    <w:p>
      <w:pPr>
        <w:spacing w:before="74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4）创建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DMZ </w:t>
      </w:r>
      <w:r>
        <w:rPr>
          <w:rFonts w:ascii="宋体" w:hAnsi="宋体" w:cs="宋体" w:eastAsia="宋体"/>
          <w:color w:val="auto"/>
          <w:spacing w:val="3"/>
          <w:position w:val="0"/>
          <w:sz w:val="21"/>
          <w:shd w:fill="auto" w:val="clear"/>
        </w:rPr>
        <w:t xml:space="preserve">区域和</w:t>
      </w:r>
      <w:r>
        <w:rPr>
          <w:rFonts w:ascii="Arial" w:hAnsi="Arial" w:cs="Arial" w:eastAsia="Arial"/>
          <w:color w:val="auto"/>
          <w:spacing w:val="3"/>
          <w:position w:val="0"/>
          <w:sz w:val="21"/>
          <w:shd w:fill="auto" w:val="clear"/>
        </w:rPr>
        <w:t xml:space="preserve">Untrust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区域之间的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NAT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策略，确定进行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NAT </w:t>
      </w:r>
      <w:r>
        <w:rPr>
          <w:rFonts w:ascii="宋体" w:hAnsi="宋体" w:cs="宋体" w:eastAsia="宋体"/>
          <w:color w:val="auto"/>
          <w:spacing w:val="2"/>
          <w:position w:val="0"/>
          <w:sz w:val="21"/>
          <w:shd w:fill="auto" w:val="clear"/>
        </w:rPr>
        <w:t xml:space="preserve">转换的源地址范围，并且将其与</w:t>
      </w:r>
      <w:r>
        <w:rPr>
          <w:rFonts w:ascii="Arial" w:hAnsi="Arial" w:cs="Arial" w:eastAsia="Arial"/>
          <w:color w:val="auto"/>
          <w:spacing w:val="2"/>
          <w:position w:val="0"/>
          <w:sz w:val="21"/>
          <w:shd w:fill="auto" w:val="clear"/>
        </w:rPr>
        <w:t xml:space="preserve">NAT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地址池</w:t>
      </w:r>
      <w:r>
        <w:rPr>
          <w:rFonts w:ascii="宋体" w:hAnsi="宋体" w:cs="宋体" w:eastAsia="宋体"/>
          <w:color w:val="auto"/>
          <w:spacing w:val="-89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2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进行绑定。</w:t>
      </w: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  <w:r>
        <w:object w:dxaOrig="11882" w:dyaOrig="8098">
          <v:rect xmlns:o="urn:schemas-microsoft-com:office:office" xmlns:v="urn:schemas-microsoft-com:vml" id="rectole0000000014" style="width:594.100000pt;height:404.9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  <w:t xml:space="preserve">5）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使用命令</w:t>
      </w:r>
      <w:r>
        <w:rPr>
          <w:rFonts w:ascii="宋体" w:hAnsi="宋体" w:cs="宋体" w:eastAsia="宋体"/>
          <w:color w:val="auto"/>
          <w:spacing w:val="-86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display nat server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查看</w:t>
      </w:r>
      <w:r>
        <w:rPr>
          <w:rFonts w:ascii="宋体" w:hAnsi="宋体" w:cs="宋体" w:eastAsia="宋体"/>
          <w:color w:val="auto"/>
          <w:spacing w:val="-86"/>
          <w:position w:val="0"/>
          <w:sz w:val="21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5"/>
          <w:position w:val="0"/>
          <w:sz w:val="21"/>
          <w:shd w:fill="auto" w:val="clear"/>
        </w:rPr>
        <w:t xml:space="preserve">NAT </w:t>
      </w:r>
      <w:r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  <w:t xml:space="preserve">server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对应情况</w:t>
      </w: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  <w:r>
        <w:object w:dxaOrig="11882" w:dyaOrig="8098">
          <v:rect xmlns:o="urn:schemas-microsoft-com:office:office" xmlns:v="urn:schemas-microsoft-com:vml" id="rectole0000000015" style="width:594.100000pt;height:404.9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</w:object>
      </w: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FFFF00" w:val="clear"/>
        </w:rPr>
      </w:pPr>
      <w:r>
        <w:rPr>
          <w:rFonts w:ascii="宋体" w:hAnsi="宋体" w:cs="宋体" w:eastAsia="宋体"/>
          <w:color w:val="auto"/>
          <w:spacing w:val="-5"/>
          <w:position w:val="0"/>
          <w:sz w:val="21"/>
          <w:shd w:fill="FFFF00" w:val="clear"/>
        </w:rPr>
        <w:t xml:space="preserve">WEB配置步骤：</w:t>
      </w: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</w:p>
    <w:p>
      <w:pPr>
        <w:numPr>
          <w:ilvl w:val="0"/>
          <w:numId w:val="75"/>
        </w:numPr>
        <w:tabs>
          <w:tab w:val="left" w:pos="696" w:leader="none"/>
        </w:tabs>
        <w:spacing w:before="1" w:after="0" w:line="240"/>
        <w:ind w:right="0" w:left="873" w:hanging="720"/>
        <w:jc w:val="left"/>
        <w:rPr>
          <w:rFonts w:ascii="Arial" w:hAnsi="Arial" w:cs="Arial" w:eastAsia="Arial"/>
          <w:color w:val="auto"/>
          <w:spacing w:val="0"/>
          <w:position w:val="0"/>
          <w:sz w:val="30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30"/>
          <w:shd w:fill="auto" w:val="clear"/>
        </w:rPr>
        <w:t xml:space="preserve">实验总结</w:t>
      </w:r>
    </w:p>
    <w:p>
      <w:pPr>
        <w:widowControl w:val="false"/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本次实验通过配置防火墙接口安全区域（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Trust/Untrust/DMZ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）及终端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IP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，实现了源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NAT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与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NAT Server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功能：​源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NAT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利用地址池（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2.2.2.2-2.2.2.5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）将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Trust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区域（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10.1.2.0/24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）访问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Untrust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的流量进行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PAT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转换，验证时通过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display firewall session table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观察到公网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IP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映射；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NAT Server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将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DMZ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服务器（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10.1.1.100:8080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）映射至公网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2.2.2.2:80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，供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Untrust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用户访问，通过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0"/>
          <w:shd w:fill="auto" w:val="clear"/>
        </w:rPr>
        <w:t xml:space="preserve">display nat server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确认映射关系。实验中发现因域间策略未放行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ICMP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导致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Ping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失败，补充策略后问题解决，加深了对</w:t>
      </w:r>
      <w:r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  <w:t xml:space="preserve">NAT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场景与防火墙策略联动的理解。</w:t>
      </w: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</w:p>
    <w:p>
      <w:pPr>
        <w:spacing w:before="85" w:after="0" w:line="240"/>
        <w:ind w:right="0" w:left="0" w:firstLine="0"/>
        <w:jc w:val="left"/>
        <w:rPr>
          <w:rFonts w:ascii="宋体" w:hAnsi="宋体" w:cs="宋体" w:eastAsia="宋体"/>
          <w:color w:val="auto"/>
          <w:spacing w:val="-5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urier New" w:hAnsi="Courier New" w:cs="Courier New" w:eastAsia="Courier New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9">
    <w:abstractNumId w:val="12"/>
  </w:num>
  <w:num w:numId="12">
    <w:abstractNumId w:val="6"/>
  </w:num>
  <w:num w:numId="7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4.wmf" Id="docRId29" Type="http://schemas.openxmlformats.org/officeDocument/2006/relationships/image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numbering.xml" Id="docRId32" Type="http://schemas.openxmlformats.org/officeDocument/2006/relationships/numbering" /><Relationship Target="embeddings/oleObject2.bin" Id="docRId4" Type="http://schemas.openxmlformats.org/officeDocument/2006/relationships/oleObject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styles.xml" Id="docRId33" Type="http://schemas.openxmlformats.org/officeDocument/2006/relationships/styles" /></Relationships>
</file>