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CD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/>
        </w:rPr>
      </w:pPr>
      <w:r>
        <w:rPr>
          <w:rFonts w:hint="eastAsia" w:ascii="黑体" w:hAnsi="黑体" w:eastAsia="黑体" w:cs="黑体"/>
          <w:sz w:val="28"/>
          <w:szCs w:val="28"/>
        </w:rPr>
        <w:t>1. 试根据本章【案例6】中给出的在线学习系统，给出一个学习者订阅课程的使用用例，以及与该用例相关的滥用案例。</w:t>
      </w:r>
      <w:r>
        <w:rPr>
          <w:rFonts w:hint="eastAsia"/>
        </w:rPr>
        <w:t xml:space="preserve">    </w:t>
      </w:r>
    </w:p>
    <w:p w14:paraId="48D29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答案：</w:t>
      </w:r>
    </w:p>
    <w:p w14:paraId="1C9C8451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0" w:name="一正常使用用例学习者订阅课程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一、正常使用用例：学习者订阅课程</w:t>
      </w:r>
    </w:p>
    <w:p w14:paraId="2037CB51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1" w:name="用例编号uc-015-01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用例编号：UC-015-01 </w:t>
      </w:r>
    </w:p>
    <w:p w14:paraId="60B8447B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参与者：注册学生、课程数据库、支付网关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前置条件：学生已完成身份认证并登录系统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主事件流：</w:t>
      </w:r>
    </w:p>
    <w:p w14:paraId="5420E50F">
      <w:pPr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学生浏览课程目录（HTTPS加密传输） </w:t>
      </w:r>
    </w:p>
    <w:p w14:paraId="3BFE432E">
      <w:pPr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选择目标课程后点击「订阅」按钮 </w:t>
      </w:r>
    </w:p>
    <w:p w14:paraId="2D28A433">
      <w:pPr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系统验证学生账户状态（无欠费/禁用记录） </w:t>
      </w:r>
    </w:p>
    <w:p w14:paraId="6B0ED572">
      <w:pPr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调用支付接口完成费用结算（PCI DSS合规支付通道） </w:t>
      </w:r>
    </w:p>
    <w:p w14:paraId="2A93167A">
      <w:pPr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生成课程访问权限（JWT令牌时效24小时） </w:t>
      </w:r>
    </w:p>
    <w:p w14:paraId="12B61EE7">
      <w:pPr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自动同步至学习进度模块（数据写入前进行XSS过滤） </w:t>
      </w:r>
    </w:p>
    <w:p w14:paraId="1C22C945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安全控制点：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步骤3：二次验证订阅行为（短信验证码/生物识别）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步骤4：支付金额哈希校验防止篡改（SHA-256）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步骤6：数据库字段加密（AES-GCM模式） </w:t>
      </w:r>
    </w:p>
    <w:p w14:paraId="4327F69E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1818706F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2" w:name="二关联滥用案例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二、关联滥用案例</w:t>
      </w:r>
    </w:p>
    <w:p w14:paraId="783D0CC6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3" w:name="滥用案例编号ac-015-01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滥用案例编号：AC-015-01 </w:t>
      </w:r>
    </w:p>
    <w:p w14:paraId="5BCF8469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攻击类型：身份盗用订阅（STRIDE中的Spoofing）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攻击路径：</w:t>
      </w:r>
    </w:p>
    <w:p w14:paraId="3E50021D">
      <w:pPr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攻击者通过钓鱼网站获取学生凭据 </w:t>
      </w:r>
    </w:p>
    <w:p w14:paraId="22EB32B7">
      <w:pPr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使用被盗账号批量订阅高价课程 </w:t>
      </w:r>
    </w:p>
    <w:p w14:paraId="2D7D11D5">
      <w:pPr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通过虚假支付记录欺骗系统授权 </w:t>
      </w:r>
    </w:p>
    <w:p w14:paraId="46D2B8EA">
      <w:pPr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转卖课程访问权限获利 </w:t>
      </w:r>
    </w:p>
    <w:p w14:paraId="066907D8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技术细节：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伪造支付回调（修改HTTP POST参数中的amount值）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利用系统未校验支付通道签名证书的漏洞 </w:t>
      </w:r>
    </w:p>
    <w:p w14:paraId="4D7B55CB">
      <w:pPr>
        <w:pStyle w:val="3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防御措施：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实施支付结果双因素校验（银行流水号+平台交易号匹配）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增加订阅频率限制（同一账户≤3次/小时） </w:t>
      </w:r>
    </w:p>
    <w:p w14:paraId="7FC7CC9F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026F5FF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4" w:name="滥用案例编号ac-015-02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滥用案例编号：AC-015-02 </w:t>
      </w:r>
    </w:p>
    <w:p w14:paraId="65B3DAA1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攻击类型：课程订阅劫持（Tampering &amp; Repudiation）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攻击方式：</w:t>
      </w:r>
    </w:p>
    <w:p w14:paraId="013820A9">
      <w:pPr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中间人劫持未加密的API请求（如使用Burp Suite拦截） </w:t>
      </w:r>
    </w:p>
    <w:p w14:paraId="209B2F65">
      <w:pPr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篡改课程ID参数实现强制订阅 </w:t>
      </w:r>
    </w:p>
    <w:p w14:paraId="1724FFF9">
      <w:pPr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删除操作日志制造抵赖条件 </w:t>
      </w:r>
    </w:p>
    <w:p w14:paraId="42C85181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漏洞利用：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目标系统未对/subscribe接口实施请求签名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数据库日志存储模块未启用WORM（一次写入多次读取）保护 </w:t>
      </w:r>
    </w:p>
    <w:p w14:paraId="13A0308F">
      <w:pPr>
        <w:pStyle w:val="3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缓解方案：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为所有API请求添加HMAC签名（密钥每15分钟轮换）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启用区块链审计日志（Hyperledger Fabric存证关键操作） </w:t>
      </w:r>
    </w:p>
    <w:p w14:paraId="63D4431F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0BF0D350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5" w:name="三安全增强建议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三、安全增强建议</w:t>
      </w:r>
    </w:p>
    <w:p w14:paraId="1C18FE12">
      <w:pPr>
        <w:pageBreakBefore w:val="0"/>
        <w:widowControl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订阅过程强化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在支付环节增加行为验证（如鼠标轨迹分析）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对免费课程实施人机验证（CAPTCHA v3） </w:t>
      </w:r>
    </w:p>
    <w:p w14:paraId="2658ECB9">
      <w:pPr>
        <w:pageBreakBefore w:val="0"/>
        <w:widowControl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异常检测机制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建立订阅行为基线模型（正常时段：9:00-23:00）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实时触发告警条件（如凌晨2点订阅50门课程） </w:t>
      </w:r>
    </w:p>
    <w:p w14:paraId="0CBF725D">
      <w:pPr>
        <w:pageBreakBefore w:val="0"/>
        <w:widowControl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数据泄露防护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课程访问令牌绑定设备指纹（防止令牌复制）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学习记录脱敏处理（替换学生真实姓名为UUID） </w:t>
      </w:r>
    </w:p>
    <w:p w14:paraId="459ACA96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62E1D40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四、合规性映射</w:t>
      </w:r>
    </w:p>
    <w:p w14:paraId="0D77B300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等保2.0三级：8.1.3.3 业务操作不可否认性要求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GDPR第32条：订阅过程中的伪匿名化处理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ISO 27001 A.9.4.1：订阅凭证生命周</w:t>
      </w:r>
      <w:r>
        <w:rPr>
          <w:rFonts w:hint="eastAsia"/>
        </w:rPr>
        <w:t>期管理</w:t>
      </w:r>
      <w:r>
        <w:t xml:space="preserve"> </w:t>
      </w:r>
    </w:p>
    <w:p w14:paraId="69FE7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/>
          <w:sz w:val="28"/>
          <w:szCs w:val="28"/>
        </w:rPr>
      </w:pPr>
    </w:p>
    <w:p w14:paraId="55F3F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/>
        </w:rPr>
      </w:pPr>
    </w:p>
    <w:p w14:paraId="15434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</w:rPr>
        <w:t xml:space="preserve">.综合实验：【案例6】中，如果该在线学习系统基于云架构设计和开发，请运用本章介绍的安全需求获取方法对其进行安全需求分析，完成实验报告。  </w:t>
      </w:r>
    </w:p>
    <w:p w14:paraId="5FE33DE7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答案</w:t>
      </w:r>
      <w:r>
        <w:rPr>
          <w:rFonts w:hint="eastAsia"/>
          <w:sz w:val="28"/>
          <w:szCs w:val="28"/>
        </w:rPr>
        <w:t>：</w:t>
      </w:r>
      <w:bookmarkStart w:id="6" w:name="一解题思路与技术路线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一、解题思路与技术路线</w:t>
      </w:r>
    </w:p>
    <w:p w14:paraId="6FD9C10A">
      <w:pPr>
        <w:pageBreakBefore w:val="0"/>
        <w:widowControl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方法选择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STRIDE威胁建模：针对云服务多租户特性，识别欺骗(S)、篡改(T)、抵赖(R)、信息泄露(I)、拒绝服务(D)、权限提升(E)风险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数据流分析法：绘制系统数据流图（DFD），标注数据在云环境中的存储/传输节点（如CDN边缘节点→对象存储OSS→数据库集群）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滥用案例推导：从攻击者视角构造异常场景（如利用虚拟化漏洞跨租户访问教学视频）</w:t>
      </w:r>
    </w:p>
    <w:p w14:paraId="6D5DA99C">
      <w:pPr>
        <w:pageBreakBefore w:val="0"/>
        <w:widowControl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云架构特性映射 </w:t>
      </w:r>
    </w:p>
    <w:p w14:paraId="178A9CAC">
      <w:pPr>
        <w:pStyle w:val="12"/>
        <w:pageBreakBefore w:val="0"/>
        <w:widowControl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IaaS层：重点分析虚拟机逃逸、资源隔离失效风险  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PaaS层：检测API接口未授权访问（如课程API未实施OAuth 2.0范围限制）  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SaaS层：验证多因素认证（MFA）覆盖度（师生账号强制生物识别）  </w:t>
      </w:r>
    </w:p>
    <w:p w14:paraId="4676D2F3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8EAA669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7" w:name="二实验报告核心框架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二、实验报告核心框架</w:t>
      </w:r>
    </w:p>
    <w:p w14:paraId="2059E82C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8" w:name="Xf625d05a1cd6519b018f489c6fd980eb5de18a6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1. 系统架构分析（需绘制图表）</w:t>
      </w:r>
    </w:p>
    <w:p w14:paraId="6DDA8D0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云服务组件： </w:t>
      </w:r>
    </w:p>
    <w:p w14:paraId="6CB9E45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334000" cy="1045845"/>
            <wp:effectExtent l="0" t="0" r="0" b="5715"/>
            <wp:docPr id="2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458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6284F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信任边界划分：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 • 外部不可信区：用户浏览器、第三方SDK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 • 可信区：VPC内部微服务、加密通信通道 </w:t>
      </w:r>
    </w:p>
    <w:bookmarkEnd w:id="8"/>
    <w:p w14:paraId="56B8CBBA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9" w:name="X6f4e254b565f4d6e889d485b7298958adff8676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2. 安全需求清单（按优先级排序）</w:t>
      </w:r>
    </w:p>
    <w:tbl>
      <w:tblPr>
        <w:tblStyle w:val="1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5778"/>
        <w:gridCol w:w="1832"/>
      </w:tblGrid>
      <w:tr w14:paraId="6002D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4FADFD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需求类别</w:t>
            </w:r>
          </w:p>
        </w:tc>
        <w:tc>
          <w:p w14:paraId="14421BE4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具体措施</w:t>
            </w:r>
          </w:p>
        </w:tc>
        <w:tc>
          <w:p w14:paraId="4DFA62E0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实施标准</w:t>
            </w:r>
          </w:p>
        </w:tc>
      </w:tr>
      <w:tr w14:paraId="19ADE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0C38B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身份认证</w:t>
            </w:r>
          </w:p>
        </w:tc>
        <w:tc>
          <w:p w14:paraId="379570E4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教师账号强制FIDO2认证，学生账号动态口令+设备绑定</w:t>
            </w:r>
          </w:p>
        </w:tc>
        <w:tc>
          <w:p w14:paraId="112B83B9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NIST SP 800-63B</w:t>
            </w:r>
          </w:p>
        </w:tc>
      </w:tr>
      <w:tr w14:paraId="2069E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2AF8A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数据加密</w:t>
            </w:r>
          </w:p>
        </w:tc>
        <w:tc>
          <w:p w14:paraId="04F9A0BC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视频流SRTP加密（AES-128-GCM），试卷库静态加密（KMS托管密钥）</w:t>
            </w:r>
          </w:p>
        </w:tc>
        <w:tc>
          <w:p w14:paraId="15644DD1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HIPAA §164.312</w:t>
            </w:r>
          </w:p>
        </w:tc>
      </w:tr>
      <w:tr w14:paraId="6BE64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65057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访问控制</w:t>
            </w:r>
          </w:p>
        </w:tc>
        <w:tc>
          <w:p w14:paraId="26A0A5C2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基于属性的访问控制（ABAC）：课程权限=角色+所属院系+时间段</w:t>
            </w:r>
          </w:p>
        </w:tc>
        <w:tc>
          <w:p w14:paraId="23D7C882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ISO 22600-3</w:t>
            </w:r>
          </w:p>
        </w:tc>
      </w:tr>
      <w:tr w14:paraId="7666C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7F5E4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审计追踪</w:t>
            </w:r>
          </w:p>
        </w:tc>
        <w:tc>
          <w:p w14:paraId="5B081BFD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API操作日志留存至专用审计VPC，防篡改设计（区块链存证）</w:t>
            </w:r>
            <w:bookmarkStart w:id="15" w:name="_GoBack"/>
            <w:bookmarkEnd w:id="15"/>
          </w:p>
        </w:tc>
        <w:tc>
          <w:p w14:paraId="003ACD28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等保2.0 8.1.3.3</w:t>
            </w:r>
          </w:p>
        </w:tc>
      </w:tr>
      <w:bookmarkEnd w:id="9"/>
    </w:tbl>
    <w:p w14:paraId="39CA3C2F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10" w:name="X6ca79398073030c0b556fc33050bceb960401d9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3. 威胁响应矩阵</w:t>
      </w:r>
    </w:p>
    <w:tbl>
      <w:tblPr>
        <w:tblStyle w:val="1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3580"/>
        <w:gridCol w:w="3609"/>
      </w:tblGrid>
      <w:tr w14:paraId="0FEA7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1C0401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攻击场景</w:t>
            </w:r>
          </w:p>
        </w:tc>
        <w:tc>
          <w:p w14:paraId="7D378DE1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防御方案</w:t>
            </w:r>
          </w:p>
        </w:tc>
        <w:tc>
          <w:p w14:paraId="654B016A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验证方法</w:t>
            </w:r>
          </w:p>
        </w:tc>
      </w:tr>
      <w:tr w14:paraId="5449E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34C18C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虚拟机逃逸攻击</w:t>
            </w:r>
          </w:p>
        </w:tc>
        <w:tc>
          <w:p w14:paraId="2E3C4DCF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部署轻量级虚拟机监控器（如gVisor），限制VM间通信</w:t>
            </w:r>
          </w:p>
        </w:tc>
        <w:tc>
          <w:p w14:paraId="35CE2AF7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使用Metasploit测试CVE-2023-1234漏洞</w:t>
            </w:r>
          </w:p>
        </w:tc>
      </w:tr>
      <w:tr w14:paraId="26862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E1EAD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API密钥泄露</w:t>
            </w:r>
          </w:p>
        </w:tc>
        <w:tc>
          <w:p w14:paraId="617D9850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动态密钥轮换（每15分钟通过HSM重新生成）</w:t>
            </w:r>
          </w:p>
        </w:tc>
        <w:tc>
          <w:p w14:paraId="1D8AD84A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使用Postman模拟旧密钥访问，预期返回403错误</w:t>
            </w:r>
          </w:p>
        </w:tc>
      </w:tr>
      <w:tr w14:paraId="52C63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CF818C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DDoS攻击</w:t>
            </w:r>
          </w:p>
        </w:tc>
        <w:tc>
          <w:p w14:paraId="00FB0D47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启用云原生清洗中心（近源流量压制+TCP协议栈优化）</w:t>
            </w:r>
          </w:p>
        </w:tc>
        <w:tc>
          <w:p w14:paraId="25EE35CB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使用LOIC工具模拟100Gbps攻击流量</w:t>
            </w:r>
          </w:p>
        </w:tc>
      </w:tr>
    </w:tbl>
    <w:p w14:paraId="080553F2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7FC7D5E8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11" w:name="三关键问题深度解析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三、关键问题深度解析</w:t>
      </w:r>
    </w:p>
    <w:p w14:paraId="309DBE86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12" w:name="问题1如何保障云原生数据库安全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问题1：如何保障云原生数据库安全？</w:t>
      </w:r>
    </w:p>
    <w:p w14:paraId="32026EF3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控制措施：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 • 启用透明数据加密（TDE）与列级加密（如手机号字段单独加密）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 • 配置SQL防火墙规则（如禁止UNION SELECT语句执行）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验证脚本： </w:t>
      </w:r>
    </w:p>
    <w:p w14:paraId="6786DC4E">
      <w:pPr>
        <w:pStyle w:val="1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-- 尝试注入攻击测试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SELECT * FROM users WHERE id=1 UNION SELECT database_version();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-- 预期结果：防火墙拦截并触发WAF日志告警ID:DB-ALERT-007</w:t>
      </w:r>
    </w:p>
    <w:bookmarkEnd w:id="12"/>
    <w:p w14:paraId="04A85E6C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13" w:name="问题2如何处理视频课件的版权保护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问题2：如何处理视频课件的版权保护？</w:t>
      </w:r>
    </w:p>
    <w:p w14:paraId="1B0EAF99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技术方案：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 • 动态水印叠加：播放时嵌入观看者ID+时间戳（FFmpeg滤镜链实现）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 • 区块链存证：使用Hyperledger Fabric记录课件哈希值及授权记录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性能指标： </w:t>
      </w:r>
    </w:p>
    <w:p w14:paraId="35966CE4">
      <w:pPr>
        <w:pStyle w:val="1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水印处理延迟：≤200ms（1080P视频）  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区块链存证TPS：≥1500次/秒（3节点共识集群）</w:t>
      </w:r>
    </w:p>
    <w:p w14:paraId="5435EB7F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5DA83AC4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14" w:name="四实验报告交付物要求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四、实验报告交付物要求</w:t>
      </w:r>
    </w:p>
    <w:p w14:paraId="61368DAB">
      <w:pPr>
        <w:pageBreakBefore w:val="0"/>
        <w:widowControl w:val="0"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必须包含内容：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系统架构图（标注云服务商责任边界，如AWS Shared Responsibility Model）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安全需求跟踪矩阵（映射到ISO/IEC 27017控制项）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渗透测试报告（覆盖OWASP Top 10漏洞类别） </w:t>
      </w:r>
    </w:p>
    <w:p w14:paraId="03FD2252">
      <w:pPr>
        <w:pageBreakBefore w:val="0"/>
        <w:widowControl w:val="0"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扩展加分项：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实现自动化安全需求验证工具（如用Python脚本检测TLS证书有效期）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对比不同云服务商方案（AWS vs. Azure vs. 阿里云的安全特性差异） </w:t>
      </w:r>
    </w:p>
    <w:p w14:paraId="5BDD2FDD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6F3367D4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五、典型错误规避指南</w:t>
      </w:r>
    </w:p>
    <w:p w14:paraId="664E521E">
      <w:pPr>
        <w:pageBreakBefore w:val="0"/>
        <w:widowControl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错误1：忽略云服务责任共担模型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纠正方案：明确标注云平台负责物理安全，用户负责数据加密与IAM策略 </w:t>
      </w:r>
    </w:p>
    <w:p w14:paraId="0D5FEFD1">
      <w:pPr>
        <w:pageBreakBefore w:val="0"/>
        <w:widowControl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错误2：直接存储明文会话令牌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改进措施：使用JWE（JSON Web Encryption）替代JWT，加密存储用户身份信息 </w:t>
      </w:r>
    </w:p>
    <w:p w14:paraId="32421116">
      <w:pPr>
        <w:pageBreakBefore w:val="0"/>
        <w:widowControl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错误3：未考虑横向移动攻击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防御设计：在K8s集群中部署网络策略（NetworkPolicy），禁止微服务间非授权通信 </w:t>
      </w:r>
    </w:p>
    <w:p w14:paraId="78F0E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</w:t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 xml:space="preserve"> </w:t>
      </w:r>
      <w:r>
        <w:rPr>
          <w:rFonts w:hint="eastAsia"/>
          <w:color w:val="FF0000"/>
          <w:sz w:val="28"/>
          <w:szCs w:val="28"/>
          <w:lang w:val="en-US" w:eastAsia="zh-CN"/>
        </w:rPr>
        <w:t>90分钟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1020" w:footer="85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28075">
    <w:pPr>
      <w:pStyle w:val="5"/>
      <w:jc w:val="center"/>
      <w:rPr>
        <w:rFonts w:hint="eastAsia" w:asciiTheme="majorEastAsia" w:hAnsiTheme="majorEastAsia" w:eastAsiaTheme="majorEastAsia" w:cstheme="majorEastAsia"/>
        <w:sz w:val="21"/>
        <w:szCs w:val="21"/>
        <w:lang w:val="en-US" w:eastAsia="zh-CN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30AE9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30AE9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Theme="majorEastAsia" w:hAnsiTheme="majorEastAsia" w:eastAsiaTheme="majorEastAsia" w:cstheme="majorEastAsia"/>
        <w:sz w:val="21"/>
        <w:szCs w:val="21"/>
        <w:lang w:val="en-US" w:eastAsia="zh-CN"/>
      </w:rPr>
      <w:t xml:space="preserve">       第 页 共6页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F0C7B">
    <w:pPr>
      <w:pStyle w:val="6"/>
      <w:pBdr>
        <w:bottom w:val="single" w:color="0000FF" w:sz="4" w:space="1"/>
      </w:pBdr>
      <w:jc w:val="center"/>
      <w:rPr>
        <w:rFonts w:hint="eastAsia" w:asciiTheme="majorEastAsia" w:hAnsiTheme="majorEastAsia" w:eastAsiaTheme="majorEastAsia" w:cstheme="majorEastAsia"/>
        <w:sz w:val="21"/>
        <w:szCs w:val="21"/>
        <w:lang w:val="en-US" w:eastAsia="zh-CN"/>
      </w:rPr>
    </w:pPr>
    <w:r>
      <w:rPr>
        <w:rFonts w:hint="eastAsia" w:asciiTheme="majorEastAsia" w:hAnsiTheme="majorEastAsia" w:eastAsiaTheme="majorEastAsia" w:cstheme="majorEastAsia"/>
        <w:sz w:val="21"/>
        <w:szCs w:val="21"/>
        <w:lang w:val="en-US" w:eastAsia="zh-CN"/>
      </w:rPr>
      <w:t>网安2202-27-章百琪--软件安全开发模型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4489F"/>
    <w:rsid w:val="2F04489F"/>
    <w:rsid w:val="5CE61E7F"/>
    <w:rsid w:val="61CA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paragraph" w:styleId="4">
    <w:name w:val="heading 4"/>
    <w:basedOn w:val="1"/>
    <w:next w:val="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paragraph" w:customStyle="1" w:styleId="11">
    <w:name w:val="First Paragraph"/>
    <w:basedOn w:val="3"/>
    <w:next w:val="3"/>
    <w:qFormat/>
    <w:uiPriority w:val="0"/>
  </w:style>
  <w:style w:type="paragraph" w:customStyle="1" w:styleId="12">
    <w:name w:val="Source Code"/>
    <w:basedOn w:val="1"/>
    <w:link w:val="14"/>
    <w:qFormat/>
    <w:uiPriority w:val="0"/>
    <w:pPr>
      <w:wordWrap w:val="0"/>
    </w:pPr>
  </w:style>
  <w:style w:type="character" w:customStyle="1" w:styleId="13">
    <w:name w:val="NormalTok"/>
    <w:basedOn w:val="14"/>
    <w:qFormat/>
    <w:uiPriority w:val="0"/>
  </w:style>
  <w:style w:type="character" w:customStyle="1" w:styleId="14">
    <w:name w:val="Verbatim Char"/>
    <w:basedOn w:val="15"/>
    <w:link w:val="12"/>
    <w:qFormat/>
    <w:uiPriority w:val="0"/>
  </w:style>
  <w:style w:type="character" w:customStyle="1" w:styleId="15">
    <w:name w:val="Body Text Char"/>
    <w:basedOn w:val="9"/>
    <w:link w:val="3"/>
    <w:qFormat/>
    <w:uiPriority w:val="0"/>
  </w:style>
  <w:style w:type="paragraph" w:customStyle="1" w:styleId="16">
    <w:name w:val="Compact"/>
    <w:basedOn w:val="3"/>
    <w:qFormat/>
    <w:uiPriority w:val="0"/>
    <w:pPr>
      <w:spacing w:before="36" w:after="36"/>
    </w:pPr>
  </w:style>
  <w:style w:type="table" w:customStyle="1" w:styleId="1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8">
    <w:name w:val="CommentTok"/>
    <w:basedOn w:val="14"/>
    <w:qFormat/>
    <w:uiPriority w:val="0"/>
    <w:rPr>
      <w:i/>
      <w:color w:val="60A0B0"/>
    </w:rPr>
  </w:style>
  <w:style w:type="character" w:customStyle="1" w:styleId="19">
    <w:name w:val="KeywordTok"/>
    <w:basedOn w:val="14"/>
    <w:qFormat/>
    <w:uiPriority w:val="0"/>
    <w:rPr>
      <w:b/>
      <w:color w:val="007020"/>
    </w:rPr>
  </w:style>
  <w:style w:type="character" w:customStyle="1" w:styleId="20">
    <w:name w:val="OperatorTok"/>
    <w:basedOn w:val="14"/>
    <w:qFormat/>
    <w:uiPriority w:val="0"/>
    <w:rPr>
      <w:color w:val="666666"/>
    </w:rPr>
  </w:style>
  <w:style w:type="character" w:customStyle="1" w:styleId="21">
    <w:name w:val="DecValTok"/>
    <w:basedOn w:val="14"/>
    <w:qFormat/>
    <w:uiPriority w:val="0"/>
    <w:rPr>
      <w:color w:val="40A070"/>
    </w:rPr>
  </w:style>
  <w:style w:type="character" w:customStyle="1" w:styleId="22">
    <w:name w:val="AlertTok"/>
    <w:basedOn w:val="14"/>
    <w:qFormat/>
    <w:uiPriority w:val="0"/>
    <w:rPr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605</Words>
  <Characters>707</Characters>
  <Lines>0</Lines>
  <Paragraphs>0</Paragraphs>
  <TotalTime>6</TotalTime>
  <ScaleCrop>false</ScaleCrop>
  <LinksUpToDate>false</LinksUpToDate>
  <CharactersWithSpaces>775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2025-03-09T01:50:00Z</dcterms:created>
  <dc:creator>`</dc:creator>
  <cp:lastModifiedBy>`</cp:lastModifiedBy>
  <dcterms:modified xsi:type="dcterms:W3CDTF">2025-03-16T02:55:59Z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26B7D7220FA244B89327C86D45FBA198_13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