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2649BF">
      <w:pPr>
        <w:pStyle w:val="14"/>
      </w:pPr>
      <w:r>
        <w:t>CWE与OWASP漏洞分类体系的对比研究</w:t>
      </w:r>
    </w:p>
    <w:p w14:paraId="71800C8C">
      <w:pPr>
        <w:keepNext w:val="0"/>
        <w:keepLines w:val="0"/>
        <w:widowControl/>
        <w:suppressLineNumbers w:val="0"/>
        <w:shd w:val="clear" w:fill="FFFFFF"/>
        <w:ind w:left="0" w:firstLine="0"/>
        <w:rPr>
          <w:rFonts w:ascii="Georgia" w:hAnsi="Georgia" w:eastAsia="Georgia" w:cs="Georgia"/>
          <w:i w:val="0"/>
          <w:iCs w:val="0"/>
          <w:caps w:val="0"/>
          <w:color w:val="373D49"/>
          <w:spacing w:val="0"/>
          <w:sz w:val="16"/>
          <w:szCs w:val="16"/>
        </w:rPr>
      </w:pPr>
      <w:r>
        <w:rPr>
          <w:rFonts w:ascii="Helvetica" w:hAnsi="Helvetica" w:eastAsia="Helvetica" w:cs="Helvetica"/>
          <w:b/>
          <w:bCs/>
          <w:i w:val="0"/>
          <w:iCs w:val="0"/>
          <w:caps w:val="0"/>
          <w:color w:val="373D49"/>
          <w:spacing w:val="0"/>
        </w:rPr>
        <w:pict>
          <v:rect id="_x0000_i1025" o:spt="1" style="height:1.5pt;width:432pt;" fillcolor="#373D49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39D8C4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b w:val="0"/>
          <w:bdr w:val="none" w:sz="0" w:space="0"/>
        </w:rPr>
      </w:pPr>
      <w:r>
        <w:t>内容概述</w:t>
      </w:r>
    </w:p>
    <w:p w14:paraId="74F2F4E2">
      <w:pPr>
        <w:pStyle w:val="3"/>
        <w:widowControl/>
        <w:numPr>
          <w:ilvl w:val="0"/>
          <w:numId w:val="2"/>
        </w:numPr>
        <w:topLinePunct w:val="0"/>
        <w:ind w:left="0" w:leftChars="0" w:firstLine="0" w:firstLineChars="0"/>
        <w:rPr>
          <w:b w:val="0"/>
          <w:bdr w:val="none" w:sz="0" w:space="0"/>
        </w:rPr>
      </w:pPr>
      <w:r>
        <w:t>CWE Top25与OWASP Top10的结构框架</w:t>
      </w:r>
    </w:p>
    <w:p w14:paraId="1B59AFB7">
      <w:pPr>
        <w:pStyle w:val="11"/>
        <w:widowControl/>
      </w:pPr>
      <w:r>
        <w:rPr>
          <w:rStyle w:val="17"/>
          <w:b/>
          <w:i w:val="0"/>
          <w:color w:val="373D49"/>
        </w:rPr>
        <w:t>CWE Top25的逻辑架构</w:t>
      </w:r>
      <w:r>
        <w:rPr>
          <w:i w:val="0"/>
          <w:color w:val="373D49"/>
        </w:rPr>
        <w:br w:type="textWrapping"/>
      </w:r>
      <w:r>
        <w:rPr>
          <w:i w:val="0"/>
          <w:color w:val="373D49"/>
        </w:rPr>
        <w:tab/>
        <w:t/>
      </w:r>
      <w:r>
        <w:rPr>
          <w:i w:val="0"/>
          <w:color w:val="373D49"/>
        </w:rPr>
        <w:tab/>
        <w:t>基于MITRE维护的公共弱点枚举体系，CWE Top25采用</w:t>
      </w:r>
      <w:r>
        <w:rPr>
          <w:rStyle w:val="17"/>
          <w:b/>
          <w:i w:val="0"/>
          <w:color w:val="373D49"/>
        </w:rPr>
        <w:t>数据驱动型分类</w:t>
      </w:r>
      <w:r>
        <w:rPr>
          <w:i w:val="0"/>
          <w:color w:val="373D49"/>
        </w:rPr>
        <w:t>）：</w:t>
      </w:r>
    </w:p>
    <w:p w14:paraId="6B6561D9">
      <w:pPr>
        <w:pStyle w:val="11"/>
        <w:widowControl/>
        <w:numPr>
          <w:ilvl w:val="0"/>
          <w:numId w:val="3"/>
        </w:numPr>
        <w:ind w:left="0" w:leftChars="0" w:firstLine="480" w:firstLineChars="0"/>
        <w:rPr>
          <w:b w:val="0"/>
          <w:bdr w:val="none" w:sz="0" w:space="0"/>
        </w:rPr>
      </w:pPr>
      <w:r>
        <w:rPr>
          <w:rStyle w:val="17"/>
          <w:b/>
          <w:i w:val="0"/>
          <w:color w:val="373D49"/>
        </w:rPr>
        <w:t>数据来源</w:t>
      </w:r>
      <w:r>
        <w:rPr>
          <w:i w:val="0"/>
          <w:color w:val="373D49"/>
        </w:rPr>
        <w:t>：NVD漏洞数据库（2021-2022年43,996个CVE）与CISA已知被利用漏洞目录（KEV）的映射分析</w:t>
      </w:r>
    </w:p>
    <w:p w14:paraId="18217121">
      <w:pPr>
        <w:pStyle w:val="11"/>
        <w:widowControl/>
        <w:numPr>
          <w:ilvl w:val="0"/>
          <w:numId w:val="3"/>
        </w:numPr>
        <w:ind w:left="0" w:leftChars="0" w:firstLine="480" w:firstLineChars="0"/>
        <w:rPr>
          <w:b w:val="0"/>
          <w:bdr w:val="none" w:sz="0" w:space="0"/>
        </w:rPr>
      </w:pPr>
      <w:r>
        <w:rPr>
          <w:rStyle w:val="17"/>
          <w:b/>
          <w:i w:val="0"/>
          <w:color w:val="373D49"/>
        </w:rPr>
        <w:t>评分维度</w:t>
      </w:r>
      <w:r>
        <w:rPr>
          <w:i w:val="0"/>
          <w:color w:val="373D49"/>
        </w:rPr>
        <w:t>：漏洞频率（占比60%）与CVSS严重性评分（占比40%）的综合加权</w:t>
      </w:r>
    </w:p>
    <w:p w14:paraId="62EACAA6">
      <w:pPr>
        <w:pStyle w:val="11"/>
        <w:widowControl/>
        <w:numPr>
          <w:ilvl w:val="0"/>
          <w:numId w:val="3"/>
        </w:numPr>
        <w:ind w:left="0" w:leftChars="0" w:firstLine="480" w:firstLineChars="0"/>
        <w:rPr>
          <w:rFonts w:hint="eastAsia" w:eastAsia="宋体"/>
          <w:b w:val="0"/>
          <w:bdr w:val="none" w:sz="0" w:space="0"/>
          <w:lang w:eastAsia="zh-CN"/>
        </w:rPr>
      </w:pPr>
      <w:r>
        <w:rPr>
          <w:rStyle w:val="17"/>
          <w:b/>
          <w:i w:val="0"/>
          <w:color w:val="373D49"/>
        </w:rPr>
        <w:t>分类特征</w:t>
      </w:r>
      <w:r>
        <w:rPr>
          <w:i w:val="0"/>
          <w:color w:val="373D49"/>
        </w:rPr>
        <w:t>：聚焦软件开发的根本性缺陷，如越界写入（CWE-787）、SQL注入（CWE-89）等内存安全与输入验证问题</w:t>
      </w:r>
      <w:bookmarkStart w:id="0" w:name="_GoBack"/>
      <w:bookmarkEnd w:id="0"/>
    </w:p>
    <w:p w14:paraId="119C39FE">
      <w:pPr>
        <w:pStyle w:val="11"/>
        <w:widowControl/>
        <w:rPr>
          <w:rFonts w:hint="eastAsia" w:eastAsia="宋体"/>
          <w:b w:val="0"/>
          <w:bdr w:val="none" w:sz="0" w:space="0"/>
          <w:lang w:eastAsia="zh-CN"/>
        </w:rPr>
      </w:pPr>
      <w:r>
        <w:rPr>
          <w:rStyle w:val="17"/>
          <w:b/>
          <w:i w:val="0"/>
          <w:color w:val="373D49"/>
        </w:rPr>
        <w:t>OWASP Top10的动态演化</w:t>
      </w:r>
      <w:r>
        <w:rPr>
          <w:i w:val="0"/>
          <w:color w:val="373D49"/>
        </w:rPr>
        <w:br w:type="textWrapping"/>
      </w:r>
      <w:r>
        <w:rPr>
          <w:i w:val="0"/>
          <w:color w:val="373D49"/>
        </w:rPr>
        <w:t>OWASP Top10以</w:t>
      </w:r>
      <w:r>
        <w:rPr>
          <w:rStyle w:val="17"/>
          <w:b/>
          <w:i w:val="0"/>
          <w:color w:val="373D49"/>
        </w:rPr>
        <w:t>威胁场景驱动</w:t>
      </w:r>
      <w:r>
        <w:rPr>
          <w:i w:val="0"/>
          <w:color w:val="373D49"/>
        </w:rPr>
        <w:t>为核心：</w:t>
      </w:r>
    </w:p>
    <w:p w14:paraId="787984D0">
      <w:pPr>
        <w:pStyle w:val="11"/>
        <w:widowControl/>
        <w:numPr>
          <w:ilvl w:val="0"/>
          <w:numId w:val="4"/>
        </w:numPr>
        <w:ind w:left="0" w:leftChars="0" w:firstLine="480" w:firstLineChars="0"/>
        <w:rPr>
          <w:b w:val="0"/>
          <w:bdr w:val="none" w:sz="0" w:space="0"/>
        </w:rPr>
      </w:pPr>
      <w:r>
        <w:rPr>
          <w:rStyle w:val="17"/>
          <w:b/>
          <w:i w:val="0"/>
          <w:color w:val="373D49"/>
        </w:rPr>
        <w:t>方法论</w:t>
      </w:r>
      <w:r>
        <w:rPr>
          <w:i w:val="0"/>
          <w:color w:val="373D49"/>
        </w:rPr>
        <w:t>：结合真实攻击案例（如2024年DeFi闪电贷攻击损失9.5亿美元）与社区专家评估</w:t>
      </w:r>
    </w:p>
    <w:p w14:paraId="0095D4B2">
      <w:pPr>
        <w:pStyle w:val="11"/>
        <w:widowControl/>
        <w:numPr>
          <w:ilvl w:val="0"/>
          <w:numId w:val="4"/>
        </w:numPr>
        <w:ind w:left="0" w:leftChars="0" w:firstLine="480" w:firstLineChars="0"/>
        <w:rPr>
          <w:b w:val="0"/>
          <w:bdr w:val="none" w:sz="0" w:space="0"/>
        </w:rPr>
      </w:pPr>
      <w:r>
        <w:rPr>
          <w:rStyle w:val="17"/>
          <w:b/>
          <w:i w:val="0"/>
          <w:color w:val="373D49"/>
        </w:rPr>
        <w:t>分类特征</w:t>
      </w:r>
      <w:r>
        <w:rPr>
          <w:i w:val="0"/>
          <w:color w:val="373D49"/>
        </w:rPr>
        <w:t>：强调实际攻击路径，例如2025版新增"价格预言机操纵"（SC02）和"逻辑错误"（SC03），反映区块链安全的新挑战</w:t>
      </w:r>
    </w:p>
    <w:p w14:paraId="7A3CB14B">
      <w:pPr>
        <w:pStyle w:val="11"/>
        <w:widowControl/>
        <w:numPr>
          <w:ilvl w:val="0"/>
          <w:numId w:val="4"/>
        </w:numPr>
        <w:ind w:left="0" w:leftChars="0" w:firstLine="480" w:firstLineChars="0"/>
        <w:rPr>
          <w:b w:val="0"/>
          <w:bdr w:val="none" w:sz="0" w:space="0"/>
        </w:rPr>
      </w:pPr>
      <w:r>
        <w:rPr>
          <w:rStyle w:val="17"/>
          <w:b/>
          <w:i w:val="0"/>
          <w:color w:val="373D49"/>
        </w:rPr>
        <w:t>更新机制</w:t>
      </w:r>
      <w:r>
        <w:rPr>
          <w:i w:val="0"/>
          <w:color w:val="373D49"/>
        </w:rPr>
        <w:t>：每三年迭代，通过威胁建模覆盖攻击向量演变（如2017-2025年间反序列化漏洞从独立类别演变为数据完整性风险</w:t>
      </w:r>
    </w:p>
    <w:p w14:paraId="00FEBA36">
      <w:pPr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73D49"/>
          <w:spacing w:val="0"/>
          <w:sz w:val="16"/>
          <w:szCs w:val="16"/>
        </w:rPr>
      </w:pPr>
      <w:r>
        <w:pict>
          <v:rect id="_x0000_i1026" o:spt="1" style="height:1.5pt;width:432pt;" fillcolor="#373D49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90347C">
      <w:pPr>
        <w:pStyle w:val="3"/>
        <w:widowControl/>
        <w:numPr>
          <w:ilvl w:val="0"/>
          <w:numId w:val="2"/>
        </w:numPr>
        <w:topLinePunct w:val="0"/>
        <w:ind w:left="0" w:leftChars="0" w:firstLine="0" w:firstLineChars="0"/>
        <w:rPr>
          <w:b w:val="0"/>
          <w:bdr w:val="none" w:sz="0" w:space="0"/>
        </w:rPr>
      </w:pPr>
      <w:r>
        <w:t>核心观点对比</w:t>
      </w:r>
    </w:p>
    <w:p w14:paraId="4D5E11B8"/>
    <w:p w14:paraId="1AA42917"/>
    <w:p w14:paraId="44B593A5"/>
    <w:tbl>
      <w:tblPr>
        <w:tblW w:w="5000" w:type="pct"/>
        <w:tblInd w:w="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55"/>
        <w:gridCol w:w="4045"/>
        <w:gridCol w:w="3798"/>
      </w:tblGrid>
      <w:tr w14:paraId="58F2E08C"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385" w:type="pct"/>
            <w:tcBorders>
              <w:top w:val="nil"/>
              <w:left w:val="single" w:color="DDDDDD" w:sz="4" w:space="0"/>
              <w:bottom w:val="single" w:color="DDDDDD" w:sz="12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</w:tcPr>
          <w:p w14:paraId="2E68D68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bottom"/>
              <w:rPr>
                <w:rFonts w:hint="default" w:ascii="Georgia" w:hAnsi="Georgia" w:eastAsia="Georgia" w:cs="Georgia"/>
                <w:b/>
                <w:bCs/>
                <w:i w:val="0"/>
                <w:iCs w:val="0"/>
                <w:caps w:val="0"/>
                <w:color w:val="373D49"/>
                <w:spacing w:val="0"/>
                <w:sz w:val="16"/>
                <w:szCs w:val="16"/>
              </w:rPr>
            </w:pPr>
            <w:r>
              <w:rPr>
                <w:rFonts w:hint="default" w:ascii="Georgia" w:hAnsi="Georgia" w:eastAsia="Georgia" w:cs="Georgia"/>
                <w:b/>
                <w:bCs/>
                <w:i w:val="0"/>
                <w:iCs w:val="0"/>
                <w:caps w:val="0"/>
                <w:color w:val="373D49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维度</w:t>
            </w:r>
          </w:p>
        </w:tc>
        <w:tc>
          <w:tcPr>
            <w:tcW w:w="2379" w:type="pct"/>
            <w:tcBorders>
              <w:top w:val="nil"/>
              <w:left w:val="single" w:color="DDDDDD" w:sz="4" w:space="0"/>
              <w:bottom w:val="single" w:color="DDDDDD" w:sz="12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</w:tcPr>
          <w:p w14:paraId="3704B1F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bottom"/>
              <w:rPr>
                <w:rFonts w:hint="default" w:ascii="Georgia" w:hAnsi="Georgia" w:eastAsia="Georgia" w:cs="Georgia"/>
                <w:b/>
                <w:bCs/>
                <w:i w:val="0"/>
                <w:iCs w:val="0"/>
                <w:caps w:val="0"/>
                <w:color w:val="373D49"/>
                <w:spacing w:val="0"/>
                <w:sz w:val="16"/>
                <w:szCs w:val="16"/>
              </w:rPr>
            </w:pPr>
            <w:r>
              <w:rPr>
                <w:rFonts w:hint="default" w:ascii="Georgia" w:hAnsi="Georgia" w:eastAsia="Georgia" w:cs="Georgia"/>
                <w:b/>
                <w:bCs/>
                <w:i w:val="0"/>
                <w:iCs w:val="0"/>
                <w:caps w:val="0"/>
                <w:color w:val="373D49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CWE Top25</w:t>
            </w:r>
          </w:p>
        </w:tc>
        <w:tc>
          <w:tcPr>
            <w:tcW w:w="2234" w:type="pct"/>
            <w:tcBorders>
              <w:top w:val="nil"/>
              <w:left w:val="single" w:color="DDDDDD" w:sz="4" w:space="0"/>
              <w:bottom w:val="single" w:color="DDDDDD" w:sz="12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bottom"/>
          </w:tcPr>
          <w:p w14:paraId="2B2A70C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bottom"/>
              <w:rPr>
                <w:rFonts w:hint="default" w:ascii="Georgia" w:hAnsi="Georgia" w:eastAsia="Georgia" w:cs="Georgia"/>
                <w:b/>
                <w:bCs/>
                <w:i w:val="0"/>
                <w:iCs w:val="0"/>
                <w:caps w:val="0"/>
                <w:color w:val="373D49"/>
                <w:spacing w:val="0"/>
                <w:sz w:val="16"/>
                <w:szCs w:val="16"/>
              </w:rPr>
            </w:pPr>
            <w:r>
              <w:rPr>
                <w:rFonts w:hint="default" w:ascii="Georgia" w:hAnsi="Georgia" w:eastAsia="Georgia" w:cs="Georgia"/>
                <w:b/>
                <w:bCs/>
                <w:i w:val="0"/>
                <w:iCs w:val="0"/>
                <w:caps w:val="0"/>
                <w:color w:val="373D49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OWASP Top10</w:t>
            </w:r>
          </w:p>
        </w:tc>
      </w:tr>
      <w:tr w14:paraId="3ECC6266"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85" w:type="pct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9F9F9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4CFDAA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Georgia" w:hAnsi="Georgia" w:eastAsia="Georgia" w:cs="Georgia"/>
                <w:i w:val="0"/>
                <w:iCs w:val="0"/>
                <w:caps w:val="0"/>
                <w:color w:val="373D49"/>
                <w:spacing w:val="0"/>
                <w:sz w:val="16"/>
                <w:szCs w:val="16"/>
              </w:rPr>
            </w:pPr>
            <w:r>
              <w:rPr>
                <w:rStyle w:val="17"/>
                <w:rFonts w:hint="default" w:ascii="Georgia" w:hAnsi="Georgia" w:eastAsia="Georgia" w:cs="Georgia"/>
                <w:b/>
                <w:bCs/>
                <w:i w:val="0"/>
                <w:iCs w:val="0"/>
                <w:caps w:val="0"/>
                <w:color w:val="373D49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目标定位</w:t>
            </w:r>
          </w:p>
        </w:tc>
        <w:tc>
          <w:tcPr>
            <w:tcW w:w="2379" w:type="pct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9F9F9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F88167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Georgia" w:hAnsi="Georgia" w:eastAsia="Georgia" w:cs="Georgia"/>
                <w:i w:val="0"/>
                <w:iCs w:val="0"/>
                <w:caps w:val="0"/>
                <w:color w:val="373D49"/>
                <w:spacing w:val="0"/>
                <w:sz w:val="16"/>
                <w:szCs w:val="16"/>
              </w:rPr>
            </w:pPr>
            <w:r>
              <w:rPr>
                <w:rFonts w:hint="default" w:ascii="Georgia" w:hAnsi="Georgia" w:eastAsia="Georgia" w:cs="Georgia"/>
                <w:i w:val="0"/>
                <w:iCs w:val="0"/>
                <w:caps w:val="0"/>
                <w:color w:val="373D49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开发阶段的弱点根治（如内存管理、代码注入）</w:t>
            </w:r>
          </w:p>
        </w:tc>
        <w:tc>
          <w:tcPr>
            <w:tcW w:w="2234" w:type="pct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9F9F9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A509EA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Georgia" w:hAnsi="Georgia" w:eastAsia="Georgia" w:cs="Georgia"/>
                <w:i w:val="0"/>
                <w:iCs w:val="0"/>
                <w:caps w:val="0"/>
                <w:color w:val="373D49"/>
                <w:spacing w:val="0"/>
                <w:sz w:val="16"/>
                <w:szCs w:val="16"/>
              </w:rPr>
            </w:pPr>
            <w:r>
              <w:rPr>
                <w:rFonts w:hint="default" w:ascii="Georgia" w:hAnsi="Georgia" w:eastAsia="Georgia" w:cs="Georgia"/>
                <w:i w:val="0"/>
                <w:iCs w:val="0"/>
                <w:caps w:val="0"/>
                <w:color w:val="373D49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运维阶段的威胁防御（如身份验证失效、敏感数据泄露）</w:t>
            </w:r>
          </w:p>
        </w:tc>
      </w:tr>
      <w:tr w14:paraId="07B8ACA0"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85" w:type="pct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A6033D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Georgia" w:hAnsi="Georgia" w:eastAsia="Georgia" w:cs="Georgia"/>
                <w:i w:val="0"/>
                <w:iCs w:val="0"/>
                <w:caps w:val="0"/>
                <w:color w:val="373D49"/>
                <w:spacing w:val="0"/>
                <w:sz w:val="16"/>
                <w:szCs w:val="16"/>
              </w:rPr>
            </w:pPr>
            <w:r>
              <w:rPr>
                <w:rStyle w:val="17"/>
                <w:rFonts w:hint="default" w:ascii="Georgia" w:hAnsi="Georgia" w:eastAsia="Georgia" w:cs="Georgia"/>
                <w:b/>
                <w:bCs/>
                <w:i w:val="0"/>
                <w:iCs w:val="0"/>
                <w:caps w:val="0"/>
                <w:color w:val="373D49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分类逻辑</w:t>
            </w:r>
          </w:p>
        </w:tc>
        <w:tc>
          <w:tcPr>
            <w:tcW w:w="2379" w:type="pct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65E1C0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Georgia" w:hAnsi="Georgia" w:eastAsia="Georgia" w:cs="Georgia"/>
                <w:i w:val="0"/>
                <w:iCs w:val="0"/>
                <w:caps w:val="0"/>
                <w:color w:val="373D49"/>
                <w:spacing w:val="0"/>
                <w:sz w:val="16"/>
                <w:szCs w:val="16"/>
              </w:rPr>
            </w:pPr>
            <w:r>
              <w:rPr>
                <w:rFonts w:hint="default" w:ascii="Georgia" w:hAnsi="Georgia" w:eastAsia="Georgia" w:cs="Georgia"/>
                <w:i w:val="0"/>
                <w:iCs w:val="0"/>
                <w:caps w:val="0"/>
                <w:color w:val="373D49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基于漏洞根源的树状结构（如CWE-79归类为"输入验证"大类）</w:t>
            </w:r>
          </w:p>
        </w:tc>
        <w:tc>
          <w:tcPr>
            <w:tcW w:w="2234" w:type="pct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1BC4EB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Georgia" w:hAnsi="Georgia" w:eastAsia="Georgia" w:cs="Georgia"/>
                <w:i w:val="0"/>
                <w:iCs w:val="0"/>
                <w:caps w:val="0"/>
                <w:color w:val="373D49"/>
                <w:spacing w:val="0"/>
                <w:sz w:val="16"/>
                <w:szCs w:val="16"/>
              </w:rPr>
            </w:pPr>
            <w:r>
              <w:rPr>
                <w:rFonts w:hint="default" w:ascii="Georgia" w:hAnsi="Georgia" w:eastAsia="Georgia" w:cs="Georgia"/>
                <w:i w:val="0"/>
                <w:iCs w:val="0"/>
                <w:caps w:val="0"/>
                <w:color w:val="373D49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基于攻击链路的网状关联（如"失效的访问控制"涵盖越权、CSRF等多场景）</w:t>
            </w:r>
          </w:p>
        </w:tc>
      </w:tr>
      <w:tr w14:paraId="65536EB9"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85" w:type="pct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9F9F9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EAD56F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Georgia" w:hAnsi="Georgia" w:eastAsia="Georgia" w:cs="Georgia"/>
                <w:i w:val="0"/>
                <w:iCs w:val="0"/>
                <w:caps w:val="0"/>
                <w:color w:val="373D49"/>
                <w:spacing w:val="0"/>
                <w:sz w:val="16"/>
                <w:szCs w:val="16"/>
              </w:rPr>
            </w:pPr>
            <w:r>
              <w:rPr>
                <w:rStyle w:val="17"/>
                <w:rFonts w:hint="default" w:ascii="Georgia" w:hAnsi="Georgia" w:eastAsia="Georgia" w:cs="Georgia"/>
                <w:b/>
                <w:bCs/>
                <w:i w:val="0"/>
                <w:iCs w:val="0"/>
                <w:caps w:val="0"/>
                <w:color w:val="373D49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应用场景</w:t>
            </w:r>
          </w:p>
        </w:tc>
        <w:tc>
          <w:tcPr>
            <w:tcW w:w="2379" w:type="pct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9F9F9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D14CF2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Georgia" w:hAnsi="Georgia" w:eastAsia="Georgia" w:cs="Georgia"/>
                <w:i w:val="0"/>
                <w:iCs w:val="0"/>
                <w:caps w:val="0"/>
                <w:color w:val="373D49"/>
                <w:spacing w:val="0"/>
                <w:sz w:val="16"/>
                <w:szCs w:val="16"/>
              </w:rPr>
            </w:pPr>
            <w:r>
              <w:rPr>
                <w:rFonts w:hint="default" w:ascii="Georgia" w:hAnsi="Georgia" w:eastAsia="Georgia" w:cs="Georgia"/>
                <w:i w:val="0"/>
                <w:iCs w:val="0"/>
                <w:caps w:val="0"/>
                <w:color w:val="373D49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代码审计工具（如中科天齐WuKong）的检测基准</w:t>
            </w:r>
          </w:p>
        </w:tc>
        <w:tc>
          <w:tcPr>
            <w:tcW w:w="2234" w:type="pct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9F9F9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0B591F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Georgia" w:hAnsi="Georgia" w:eastAsia="Georgia" w:cs="Georgia"/>
                <w:i w:val="0"/>
                <w:iCs w:val="0"/>
                <w:caps w:val="0"/>
                <w:color w:val="373D49"/>
                <w:spacing w:val="0"/>
                <w:sz w:val="16"/>
                <w:szCs w:val="16"/>
              </w:rPr>
            </w:pPr>
            <w:r>
              <w:rPr>
                <w:rFonts w:hint="default" w:ascii="Georgia" w:hAnsi="Georgia" w:eastAsia="Georgia" w:cs="Georgia"/>
                <w:i w:val="0"/>
                <w:iCs w:val="0"/>
                <w:caps w:val="0"/>
                <w:color w:val="373D49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渗透测试与安全设计的优先级指南（如优先修复Top10中高风险项）</w:t>
            </w:r>
          </w:p>
        </w:tc>
      </w:tr>
      <w:tr w14:paraId="66DD2614"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85" w:type="pct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FE4CC0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Georgia" w:hAnsi="Georgia" w:eastAsia="Georgia" w:cs="Georgia"/>
                <w:i w:val="0"/>
                <w:iCs w:val="0"/>
                <w:caps w:val="0"/>
                <w:color w:val="373D49"/>
                <w:spacing w:val="0"/>
                <w:sz w:val="16"/>
                <w:szCs w:val="16"/>
              </w:rPr>
            </w:pPr>
            <w:r>
              <w:rPr>
                <w:rStyle w:val="17"/>
                <w:rFonts w:hint="default" w:ascii="Georgia" w:hAnsi="Georgia" w:eastAsia="Georgia" w:cs="Georgia"/>
                <w:b/>
                <w:bCs/>
                <w:i w:val="0"/>
                <w:iCs w:val="0"/>
                <w:caps w:val="0"/>
                <w:color w:val="373D49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数据时效</w:t>
            </w:r>
          </w:p>
        </w:tc>
        <w:tc>
          <w:tcPr>
            <w:tcW w:w="2379" w:type="pct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80D031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Georgia" w:hAnsi="Georgia" w:eastAsia="Georgia" w:cs="Georgia"/>
                <w:i w:val="0"/>
                <w:iCs w:val="0"/>
                <w:caps w:val="0"/>
                <w:color w:val="373D49"/>
                <w:spacing w:val="0"/>
                <w:sz w:val="16"/>
                <w:szCs w:val="16"/>
              </w:rPr>
            </w:pPr>
            <w:r>
              <w:rPr>
                <w:rFonts w:hint="default" w:ascii="Georgia" w:hAnsi="Georgia" w:eastAsia="Georgia" w:cs="Georgia"/>
                <w:i w:val="0"/>
                <w:iCs w:val="0"/>
                <w:caps w:val="0"/>
                <w:color w:val="373D49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滞后性明显（依赖NVD漏洞库，2024年榜单仍包含2019年发现的CWE-416）</w:t>
            </w:r>
          </w:p>
        </w:tc>
        <w:tc>
          <w:tcPr>
            <w:tcW w:w="2234" w:type="pct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80444C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Georgia" w:hAnsi="Georgia" w:eastAsia="Georgia" w:cs="Georgia"/>
                <w:i w:val="0"/>
                <w:iCs w:val="0"/>
                <w:caps w:val="0"/>
                <w:color w:val="373D49"/>
                <w:spacing w:val="0"/>
                <w:sz w:val="16"/>
                <w:szCs w:val="16"/>
              </w:rPr>
            </w:pPr>
            <w:r>
              <w:rPr>
                <w:rFonts w:hint="default" w:ascii="Georgia" w:hAnsi="Georgia" w:eastAsia="Georgia" w:cs="Georgia"/>
                <w:i w:val="0"/>
                <w:iCs w:val="0"/>
                <w:caps w:val="0"/>
                <w:color w:val="373D49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前瞻性突出（2025版预判智能合约逻辑错误将成为主要攻击面）</w:t>
            </w:r>
          </w:p>
        </w:tc>
      </w:tr>
    </w:tbl>
    <w:p w14:paraId="64968EA8">
      <w:pPr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73D49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27" o:spt="1" style="height:1.5pt;width:432pt;" fillcolor="#373D49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E0D530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b w:val="0"/>
          <w:bdr w:val="none" w:sz="0" w:space="0"/>
        </w:rPr>
      </w:pPr>
      <w:r>
        <w:t>分析与评价</w:t>
      </w:r>
    </w:p>
    <w:p w14:paraId="7E9C466A">
      <w:pPr>
        <w:pStyle w:val="3"/>
        <w:widowControl/>
        <w:numPr>
          <w:ilvl w:val="0"/>
          <w:numId w:val="5"/>
        </w:numPr>
        <w:topLinePunct w:val="0"/>
        <w:ind w:left="0" w:leftChars="0" w:firstLine="0" w:firstLineChars="0"/>
        <w:rPr>
          <w:rFonts w:hint="eastAsia" w:eastAsia="宋体"/>
          <w:b w:val="0"/>
          <w:bdr w:val="none" w:sz="0" w:space="0"/>
          <w:lang w:eastAsia="zh-CN"/>
        </w:rPr>
      </w:pPr>
      <w:r>
        <w:t>分类体系的合理性</w:t>
      </w:r>
    </w:p>
    <w:p w14:paraId="34CB1BFD">
      <w:pPr>
        <w:pStyle w:val="11"/>
        <w:widowControl/>
      </w:pPr>
      <w:r>
        <w:rPr>
          <w:rStyle w:val="17"/>
          <w:b/>
          <w:i w:val="0"/>
          <w:color w:val="373D49"/>
        </w:rPr>
        <w:t>CWE的工程价值</w:t>
      </w:r>
      <w:r>
        <w:rPr>
          <w:i w:val="0"/>
          <w:color w:val="373D49"/>
        </w:rPr>
        <w:br w:type="textWrapping"/>
      </w:r>
      <w:r>
        <w:rPr>
          <w:i w:val="0"/>
          <w:color w:val="373D49"/>
        </w:rPr>
        <w:t>通过漏洞映射说明（Mapping_Notes）实现精准归因，例如将CVE-2023-23397（微软提权漏洞）映射到CWE-269权限管理缺陷，为静态代码分析提供标准化输入。这种基于XML Schema 7.0的规范化描述1），有效解决了传统漏洞库中"一因多果"（如缓冲区溢出可能对应多个CWE编号）的映射混乱问题。</w:t>
      </w:r>
    </w:p>
    <w:p w14:paraId="1D0A0B71">
      <w:pPr>
        <w:pStyle w:val="11"/>
        <w:widowControl/>
        <w:numPr>
          <w:numId w:val="0"/>
        </w:numPr>
        <w:rPr>
          <w:rFonts w:hint="eastAsia" w:eastAsia="宋体"/>
          <w:b w:val="0"/>
          <w:bdr w:val="none" w:sz="0" w:space="0"/>
          <w:lang w:eastAsia="zh-CN"/>
        </w:rPr>
      </w:pPr>
    </w:p>
    <w:p w14:paraId="38D517E0">
      <w:pPr>
        <w:pStyle w:val="11"/>
        <w:widowControl/>
        <w:rPr>
          <w:rFonts w:hint="eastAsia" w:eastAsia="宋体"/>
          <w:b w:val="0"/>
          <w:bdr w:val="none" w:sz="0" w:space="0"/>
          <w:lang w:eastAsia="zh-CN"/>
        </w:rPr>
      </w:pPr>
      <w:r>
        <w:rPr>
          <w:rStyle w:val="17"/>
          <w:b/>
          <w:i w:val="0"/>
          <w:color w:val="373D49"/>
        </w:rPr>
        <w:t>OWASP的实战导向</w:t>
      </w:r>
      <w:r>
        <w:rPr>
          <w:i w:val="0"/>
          <w:color w:val="373D49"/>
        </w:rPr>
        <w:br w:type="textWrapping"/>
      </w:r>
      <w:r>
        <w:rPr>
          <w:i w:val="0"/>
          <w:color w:val="373D49"/>
        </w:rPr>
        <w:t>2025版智能合约Top10中，“未检查的外部调用”（SC06）的归类体现"攻击者视角"：不仅描述漏洞本身，更强调外部合约交互中的信任边界突破（如2024年Poly Network被黑事件）。这种将技术缺陷置于业务上下文的分析方法，弥补了传统CWE缺乏场景化描述的短板9）。</w:t>
      </w:r>
    </w:p>
    <w:p w14:paraId="621F5A97">
      <w:pPr>
        <w:pStyle w:val="3"/>
        <w:widowControl/>
        <w:numPr>
          <w:ilvl w:val="0"/>
          <w:numId w:val="5"/>
        </w:numPr>
        <w:topLinePunct w:val="0"/>
        <w:ind w:left="0" w:leftChars="0" w:firstLine="0" w:firstLineChars="0"/>
        <w:rPr>
          <w:rFonts w:hint="eastAsia" w:eastAsia="宋体"/>
          <w:b w:val="0"/>
          <w:bdr w:val="none" w:sz="0" w:space="0"/>
          <w:lang w:eastAsia="zh-CN"/>
        </w:rPr>
      </w:pPr>
      <w:r>
        <w:t>局限性反思</w:t>
      </w:r>
    </w:p>
    <w:p w14:paraId="04368454">
      <w:pPr>
        <w:pStyle w:val="11"/>
        <w:widowControl/>
        <w:rPr>
          <w:rFonts w:hint="eastAsia" w:eastAsia="宋体"/>
          <w:b w:val="0"/>
          <w:bdr w:val="none" w:sz="0" w:space="0"/>
          <w:lang w:eastAsia="zh-CN"/>
        </w:rPr>
      </w:pPr>
      <w:r>
        <w:rPr>
          <w:rStyle w:val="17"/>
          <w:b/>
          <w:i w:val="0"/>
          <w:color w:val="373D49"/>
        </w:rPr>
        <w:t>CWE的覆盖盲区</w:t>
      </w:r>
      <w:r>
        <w:rPr>
          <w:i w:val="0"/>
          <w:color w:val="373D49"/>
        </w:rPr>
        <w:br w:type="textWrapping"/>
      </w:r>
      <w:r>
        <w:rPr>
          <w:i w:val="0"/>
          <w:color w:val="373D49"/>
        </w:rPr>
        <w:t>对新兴技术（如AI模型漏洞）响应迟缓。例如，2024年OWASP已发布LLM漏洞Top107），而CWE尚未建立针对生成式AI的弱点分类，导致ChatGPT的提示注入攻击无法被准确归类。</w:t>
      </w:r>
    </w:p>
    <w:p w14:paraId="1F5F8FB3">
      <w:pPr>
        <w:pStyle w:val="11"/>
        <w:widowControl/>
        <w:rPr>
          <w:rFonts w:hint="eastAsia" w:eastAsia="宋体"/>
          <w:b w:val="0"/>
          <w:bdr w:val="none" w:sz="0" w:space="0"/>
          <w:lang w:eastAsia="zh-CN"/>
        </w:rPr>
      </w:pPr>
      <w:r>
        <w:rPr>
          <w:rStyle w:val="17"/>
          <w:b/>
          <w:i w:val="0"/>
          <w:color w:val="373D49"/>
        </w:rPr>
        <w:t>OWASP的行业偏差</w:t>
      </w:r>
      <w:r>
        <w:rPr>
          <w:i w:val="0"/>
          <w:color w:val="373D49"/>
        </w:rPr>
        <w:br w:type="textWrapping"/>
      </w:r>
      <w:r>
        <w:rPr>
          <w:i w:val="0"/>
          <w:color w:val="373D49"/>
        </w:rPr>
        <w:t>过度聚焦Web应用（占2025版80%内容），忽视嵌入式系统与工业控制场景。例如，CWE Top25中的"硬件信号处理错误"（CWE-1249）未在OWASP体系中出现，暴露其在物联网安全领域的覆盖不足10）。</w:t>
      </w:r>
    </w:p>
    <w:p w14:paraId="48E3A285">
      <w:pPr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73D49"/>
          <w:spacing w:val="0"/>
          <w:sz w:val="16"/>
          <w:szCs w:val="16"/>
        </w:rPr>
      </w:pPr>
      <w:r>
        <w:pict>
          <v:rect id="_x0000_i1028" o:spt="1" style="height:1.5pt;width:432pt;" fillcolor="#373D49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6A94FA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b w:val="0"/>
          <w:bdr w:val="none" w:sz="0" w:space="0"/>
        </w:rPr>
      </w:pPr>
      <w:r>
        <w:t>个人思考与启示</w:t>
      </w:r>
    </w:p>
    <w:p w14:paraId="0EDCE8BD">
      <w:pPr>
        <w:pStyle w:val="3"/>
        <w:widowControl/>
        <w:numPr>
          <w:ilvl w:val="0"/>
          <w:numId w:val="6"/>
        </w:numPr>
        <w:topLinePunct w:val="0"/>
        <w:ind w:left="0" w:leftChars="0" w:firstLine="0" w:firstLineChars="0"/>
        <w:rPr>
          <w:rFonts w:hint="eastAsia" w:eastAsia="宋体"/>
          <w:b w:val="0"/>
          <w:bdr w:val="none" w:sz="0" w:space="0"/>
          <w:lang w:eastAsia="zh-CN"/>
        </w:rPr>
      </w:pPr>
      <w:r>
        <w:t>理论认知突破</w:t>
      </w:r>
    </w:p>
    <w:p w14:paraId="706B5B47">
      <w:pPr>
        <w:pStyle w:val="11"/>
        <w:widowControl/>
        <w:rPr>
          <w:rFonts w:hint="eastAsia" w:eastAsia="宋体"/>
          <w:b w:val="0"/>
          <w:bdr w:val="none" w:sz="0" w:space="0"/>
          <w:lang w:eastAsia="zh-CN"/>
        </w:rPr>
      </w:pPr>
      <w:r>
        <w:rPr>
          <w:rStyle w:val="17"/>
          <w:b/>
          <w:i w:val="0"/>
          <w:color w:val="373D49"/>
        </w:rPr>
        <w:t>漏洞治理的层次性</w:t>
      </w:r>
      <w:r>
        <w:rPr>
          <w:i w:val="0"/>
          <w:color w:val="373D49"/>
        </w:rPr>
        <w:br w:type="textWrapping"/>
      </w:r>
      <w:r>
        <w:rPr>
          <w:i w:val="0"/>
          <w:color w:val="373D49"/>
        </w:rPr>
        <w:t>CWE与OWASP的互补性启示：开发阶段需优先修复CWE Top25中的内存安全缺陷（如越界写入），而部署阶段则应关注OWASP Top10的配置错误（如A5安全配置错误）。这种"预防-检测-响应"的分层模型，与NIST网络安全框架的核心思想高度契合。</w:t>
      </w:r>
    </w:p>
    <w:p w14:paraId="270FD00A">
      <w:pPr>
        <w:pStyle w:val="11"/>
        <w:widowControl/>
        <w:rPr>
          <w:rFonts w:hint="eastAsia" w:eastAsia="宋体"/>
          <w:b w:val="0"/>
          <w:bdr w:val="none" w:sz="0" w:space="0"/>
          <w:lang w:eastAsia="zh-CN"/>
        </w:rPr>
      </w:pPr>
      <w:r>
        <w:rPr>
          <w:rStyle w:val="17"/>
          <w:b/>
          <w:i w:val="0"/>
          <w:color w:val="373D49"/>
        </w:rPr>
        <w:t>供应链安全的新维度</w:t>
      </w:r>
      <w:r>
        <w:rPr>
          <w:i w:val="0"/>
          <w:color w:val="373D49"/>
        </w:rPr>
        <w:br w:type="textWrapping"/>
      </w:r>
      <w:r>
        <w:rPr>
          <w:i w:val="0"/>
          <w:color w:val="373D49"/>
        </w:rPr>
        <w:t>OWASP 2025版将"第三方组件风险"（A6）提升至战略高度，结合CWE的CVE映射能力，可构建从源代码到运行时依赖的全链路SBOM（软件物料清单）。例如，Log4j2漏洞（CVE-2021-44228）的修复需同时参考CWE-917（表达式语言注入）和OWASP A3（注入攻击）的双重标准。</w:t>
      </w:r>
    </w:p>
    <w:p w14:paraId="6B9FB0FE">
      <w:pPr>
        <w:pStyle w:val="3"/>
        <w:widowControl/>
        <w:numPr>
          <w:ilvl w:val="0"/>
          <w:numId w:val="6"/>
        </w:numPr>
        <w:topLinePunct w:val="0"/>
        <w:ind w:left="0" w:leftChars="0" w:firstLine="0" w:firstLineChars="0"/>
        <w:rPr>
          <w:b w:val="0"/>
          <w:bdr w:val="none" w:sz="0" w:space="0"/>
        </w:rPr>
      </w:pPr>
      <w:r>
        <w:t>实践应用方向</w:t>
      </w:r>
    </w:p>
    <w:p w14:paraId="670A937A">
      <w:pPr>
        <w:pStyle w:val="11"/>
        <w:widowControl/>
        <w:rPr>
          <w:rFonts w:hint="eastAsia" w:eastAsia="黑体"/>
          <w:b w:val="0"/>
          <w:bdr w:val="none" w:sz="0" w:space="0"/>
          <w:lang w:eastAsia="zh-CN"/>
        </w:rPr>
      </w:pPr>
      <w:r>
        <w:rPr>
          <w:rStyle w:val="17"/>
          <w:b/>
          <w:i w:val="0"/>
          <w:color w:val="373D49"/>
        </w:rPr>
        <w:t>DevSecOps工具链设计</w:t>
      </w:r>
      <w:r>
        <w:rPr>
          <w:i w:val="0"/>
          <w:color w:val="373D49"/>
        </w:rPr>
        <w:br w:type="textWrapping"/>
      </w:r>
      <w:r>
        <w:rPr>
          <w:i w:val="0"/>
          <w:color w:val="373D49"/>
        </w:rPr>
        <w:t>将CWE分类嵌入SAST工具（如SonarQube），同时集成OWASP ZAP的动态检测规则，实现：</w:t>
      </w:r>
    </w:p>
    <w:p w14:paraId="73D95B79">
      <w:pPr>
        <w:pStyle w:val="11"/>
        <w:widowControl/>
        <w:numPr>
          <w:ilvl w:val="0"/>
          <w:numId w:val="7"/>
        </w:numPr>
        <w:ind w:left="0" w:leftChars="0" w:firstLine="480" w:firstLineChars="0"/>
        <w:rPr>
          <w:b w:val="0"/>
          <w:bdr w:val="none" w:sz="0" w:space="0"/>
        </w:rPr>
      </w:pPr>
      <w:r>
        <w:rPr>
          <w:i w:val="0"/>
          <w:color w:val="373D49"/>
        </w:rPr>
        <w:t>开发阶段：拦截CWE Top25中的代码缺陷（如硬编码凭证CWE-798）</w:t>
      </w:r>
    </w:p>
    <w:p w14:paraId="166D9FE6">
      <w:pPr>
        <w:pStyle w:val="11"/>
        <w:widowControl/>
        <w:numPr>
          <w:ilvl w:val="0"/>
          <w:numId w:val="7"/>
        </w:numPr>
        <w:ind w:left="0" w:leftChars="0" w:firstLine="480" w:firstLineChars="0"/>
        <w:rPr>
          <w:rFonts w:hint="eastAsia" w:eastAsia="宋体"/>
          <w:b w:val="0"/>
          <w:bdr w:val="none" w:sz="0" w:space="0"/>
          <w:lang w:eastAsia="zh-CN"/>
        </w:rPr>
      </w:pPr>
      <w:r>
        <w:rPr>
          <w:i w:val="0"/>
          <w:color w:val="373D49"/>
        </w:rPr>
        <w:t>测试阶段：验证OWASP Top10防护措施（如JWT令牌失效机制）</w:t>
      </w:r>
    </w:p>
    <w:p w14:paraId="63946313">
      <w:pPr>
        <w:pStyle w:val="11"/>
        <w:widowControl/>
        <w:rPr>
          <w:rFonts w:hint="eastAsia" w:eastAsia="宋体"/>
          <w:b w:val="0"/>
          <w:bdr w:val="none" w:sz="0" w:space="0"/>
          <w:lang w:eastAsia="zh-CN"/>
        </w:rPr>
      </w:pPr>
      <w:r>
        <w:rPr>
          <w:rStyle w:val="17"/>
          <w:b/>
          <w:i w:val="0"/>
          <w:color w:val="373D49"/>
        </w:rPr>
        <w:t>安全培训体系优化</w:t>
      </w:r>
      <w:r>
        <w:rPr>
          <w:i w:val="0"/>
          <w:color w:val="373D49"/>
        </w:rPr>
        <w:br w:type="textWrapping"/>
      </w:r>
      <w:r>
        <w:rPr>
          <w:i w:val="0"/>
          <w:color w:val="373D49"/>
        </w:rPr>
        <w:t>基于CWE-79（XSS）与OWASP A7（身份验证失效）的关联性，设计攻击链模拟实验：从存储型XSS漏洞利用（CWE分类）到会话劫持（OWASP场景），帮助开发者建立"漏洞-威胁-影响"的完整认知。</w:t>
      </w:r>
    </w:p>
    <w:p w14:paraId="621B30C4">
      <w:pPr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Georgia" w:hAnsi="Georgia" w:eastAsia="Georgia" w:cs="Georgia"/>
          <w:i w:val="0"/>
          <w:iCs w:val="0"/>
          <w:caps w:val="0"/>
          <w:color w:val="373D49"/>
          <w:spacing w:val="0"/>
          <w:sz w:val="16"/>
          <w:szCs w:val="16"/>
        </w:rPr>
      </w:pPr>
      <w:r>
        <w:pict>
          <v:rect id="_x0000_i1029" o:spt="1" style="height:1.5pt;width:432pt;" fillcolor="#373D49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9FC063">
      <w:pPr>
        <w:pStyle w:val="19"/>
        <w:widowControl/>
      </w:pPr>
      <w:r>
        <w:t>参考文献</w:t>
      </w:r>
    </w:p>
    <w:p w14:paraId="72D675D1">
      <w:pPr>
        <w:pStyle w:val="18"/>
        <w:widowControl/>
        <w:ind w:left="420" w:leftChars="200" w:firstLine="0" w:firstLineChars="0"/>
      </w:pPr>
      <w:r>
        <w:t>CWE 4.12版本更新说明（2023年）</w:t>
      </w:r>
    </w:p>
    <w:p w14:paraId="624BD495">
      <w:pPr>
        <w:pStyle w:val="11"/>
        <w:widowControl/>
      </w:pPr>
      <w:r>
        <w:rPr>
          <w:i w:val="0"/>
          <w:color w:val="373D49"/>
        </w:rPr>
        <w:t>MITRE 2023年CWE Top25发布报告</w:t>
      </w:r>
    </w:p>
    <w:p w14:paraId="24E8FBF9">
      <w:pPr>
        <w:pStyle w:val="11"/>
        <w:widowControl/>
      </w:pPr>
      <w:r>
        <w:rPr>
          <w:i w:val="0"/>
          <w:color w:val="373D49"/>
        </w:rPr>
        <w:t>2024年CWE Top25榜单分析</w:t>
      </w:r>
    </w:p>
    <w:p w14:paraId="18A219AB">
      <w:pPr>
        <w:pStyle w:val="11"/>
        <w:widowControl/>
      </w:pPr>
      <w:r>
        <w:rPr>
          <w:i w:val="0"/>
          <w:color w:val="373D49"/>
        </w:rPr>
        <w:t>MITRE 2024年漏洞趋势解读</w:t>
      </w:r>
    </w:p>
    <w:p w14:paraId="6654E024">
      <w:pPr>
        <w:pStyle w:val="11"/>
        <w:widowControl/>
      </w:pPr>
      <w:r>
        <w:rPr>
          <w:i w:val="0"/>
          <w:color w:val="373D49"/>
        </w:rPr>
        <w:t>CWE Mapping_Notes技术文档</w:t>
      </w:r>
    </w:p>
    <w:p w14:paraId="7F718621">
      <w:pPr>
        <w:pStyle w:val="11"/>
        <w:widowControl/>
      </w:pPr>
      <w:r>
        <w:rPr>
          <w:i w:val="0"/>
          <w:color w:val="373D49"/>
        </w:rPr>
        <w:t>OWASP Top10 2021-2025演变分析</w:t>
      </w:r>
    </w:p>
    <w:p w14:paraId="626FBDDA">
      <w:pPr>
        <w:pStyle w:val="11"/>
        <w:widowControl/>
      </w:pPr>
      <w:r>
        <w:rPr>
          <w:i w:val="0"/>
          <w:color w:val="373D49"/>
        </w:rPr>
        <w:t>OWASP 2025智能合约安全报告</w:t>
      </w:r>
    </w:p>
    <w:p w14:paraId="1995E464">
      <w:pPr>
        <w:pStyle w:val="11"/>
        <w:widowControl/>
      </w:pPr>
      <w:r>
        <w:rPr>
          <w:i w:val="0"/>
          <w:color w:val="373D49"/>
        </w:rPr>
        <w:t>区块链漏洞治理案例研究</w:t>
      </w:r>
    </w:p>
    <w:p w14:paraId="4A4B5ACB">
      <w:pPr>
        <w:pStyle w:val="11"/>
        <w:widowControl/>
      </w:pPr>
      <w:r>
        <w:rPr>
          <w:i w:val="0"/>
          <w:color w:val="373D49"/>
        </w:rPr>
        <w:t>CWE与OWASP分类对比学术论文</w:t>
      </w:r>
    </w:p>
    <w:p w14:paraId="7D94E38A">
      <w:pPr>
        <w:pStyle w:val="11"/>
        <w:widowControl/>
      </w:pPr>
      <w:r>
        <w:rPr>
          <w:i w:val="0"/>
          <w:color w:val="373D49"/>
        </w:rPr>
        <w:t>工业控制系统漏洞研究白皮书</w:t>
      </w:r>
    </w:p>
    <w:p w14:paraId="5C7B809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9BCA28"/>
    <w:multiLevelType w:val="singleLevel"/>
    <w:tmpl w:val="829BCA28"/>
    <w:lvl w:ilvl="0" w:tentative="0">
      <w:start w:val="1"/>
      <w:numFmt w:val="chineseCounting"/>
      <w:suff w:val="nothing"/>
      <w:lvlText w:val="（%1）"/>
      <w:lvlJc w:val="left"/>
      <w:pPr>
        <w:ind w:left="0" w:firstLine="0"/>
      </w:pPr>
      <w:rPr>
        <w:rFonts w:hint="eastAsia"/>
      </w:rPr>
    </w:lvl>
  </w:abstractNum>
  <w:abstractNum w:abstractNumId="1">
    <w:nsid w:val="92240378"/>
    <w:multiLevelType w:val="singleLevel"/>
    <w:tmpl w:val="92240378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2">
    <w:nsid w:val="98F5EBCF"/>
    <w:multiLevelType w:val="singleLevel"/>
    <w:tmpl w:val="98F5EBCF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">
    <w:nsid w:val="BC13843B"/>
    <w:multiLevelType w:val="singleLevel"/>
    <w:tmpl w:val="BC13843B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4">
    <w:nsid w:val="058AC0E8"/>
    <w:multiLevelType w:val="singleLevel"/>
    <w:tmpl w:val="058AC0E8"/>
    <w:lvl w:ilvl="0" w:tentative="0">
      <w:start w:val="1"/>
      <w:numFmt w:val="chineseCounting"/>
      <w:suff w:val="nothing"/>
      <w:lvlText w:val="（%1）"/>
      <w:lvlJc w:val="left"/>
      <w:pPr>
        <w:ind w:left="0" w:firstLine="0"/>
      </w:pPr>
      <w:rPr>
        <w:rFonts w:hint="eastAsia"/>
      </w:rPr>
    </w:lvl>
  </w:abstractNum>
  <w:abstractNum w:abstractNumId="5">
    <w:nsid w:val="0EF75492"/>
    <w:multiLevelType w:val="singleLevel"/>
    <w:tmpl w:val="0EF75492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6">
    <w:nsid w:val="68E1EDE2"/>
    <w:multiLevelType w:val="singleLevel"/>
    <w:tmpl w:val="68E1EDE2"/>
    <w:lvl w:ilvl="0" w:tentative="0">
      <w:start w:val="1"/>
      <w:numFmt w:val="chineseCounting"/>
      <w:suff w:val="nothing"/>
      <w:lvlText w:val="（%1）"/>
      <w:lvlJc w:val="left"/>
      <w:pPr>
        <w:ind w:left="0" w:firstLine="0"/>
      </w:pPr>
      <w:rPr>
        <w:rFonts w:hint="eastAsia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6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D44B30"/>
    <w:rsid w:val="1DD4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6">
    <w:name w:val="Default Paragraph Font"/>
    <w:semiHidden/>
    <w:qFormat/>
    <w:uiPriority w:val="0"/>
  </w:style>
  <w:style w:type="table" w:default="1" w:styleId="1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Normal (Web)"/>
    <w:basedOn w:val="1"/>
    <w:uiPriority w:val="0"/>
    <w:rPr>
      <w:sz w:val="24"/>
    </w:rPr>
  </w:style>
  <w:style w:type="paragraph" w:styleId="14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character" w:styleId="17">
    <w:name w:val="Strong"/>
    <w:basedOn w:val="16"/>
    <w:qFormat/>
    <w:uiPriority w:val="0"/>
    <w:rPr>
      <w:b/>
    </w:rPr>
  </w:style>
  <w:style w:type="paragraph" w:customStyle="1" w:styleId="18">
    <w:name w:val="参考文献条目"/>
    <w:next w:val="1"/>
    <w:uiPriority w:val="0"/>
    <w:pPr>
      <w:widowControl w:val="0"/>
      <w:adjustRightInd w:val="0"/>
      <w:spacing w:line="300" w:lineRule="auto"/>
      <w:ind w:left="200" w:hanging="200" w:hangingChars="200"/>
      <w:jc w:val="both"/>
    </w:pPr>
    <w:rPr>
      <w:rFonts w:ascii="Times New Roman" w:hAnsi="Times New Roman" w:eastAsia="宋体" w:cs="宋体"/>
      <w:kern w:val="2"/>
      <w:sz w:val="21"/>
      <w:szCs w:val="21"/>
      <w:lang w:bidi="ar-SA"/>
    </w:rPr>
  </w:style>
  <w:style w:type="paragraph" w:customStyle="1" w:styleId="19">
    <w:name w:val="章标题"/>
    <w:next w:val="1"/>
    <w:uiPriority w:val="0"/>
    <w:pPr>
      <w:widowControl w:val="0"/>
      <w:adjustRightInd w:val="0"/>
      <w:spacing w:before="100" w:after="100" w:line="360" w:lineRule="auto"/>
      <w:jc w:val="center"/>
      <w:outlineLvl w:val="0"/>
    </w:pPr>
    <w:rPr>
      <w:rFonts w:ascii="Times New Roman" w:hAnsi="Times New Roman" w:eastAsia="黑体" w:cs="Times New Roman"/>
      <w:kern w:val="44"/>
      <w:sz w:val="36"/>
      <w:szCs w:val="44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2025-03-01T02:17:00Z</dcterms:created>
  <dc:creator>`</dc:creator>
  <cp:lastModifiedBy>`</cp:lastModifiedBy>
  <dcterms:modified xsi:type="dcterms:W3CDTF">2025-03-01T02:34:45Z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DF82B57B06CE41CFA13A8AC9012764CA_11</vt:lpwstr>
  </property>
  <property fmtid="{D5CDD505-2E9C-101B-9397-08002B2CF9AE}" pid="4" name="KSOTemplateDocerSaveRecord">
    <vt:lpwstr>eyJoZGlkIjoiOWQ5MTk5NjA4NjEwNTA5NjljZjgyNzM2MWYzMjgzNzYiLCJ1c2VySWQiOiI3OTA5MzY3MTcifQ==</vt:lpwstr>
  </property>
</Properties>
</file>