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7EA2B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福建工程学院计算机科学与数学学院</w:t>
      </w:r>
    </w:p>
    <w:p w14:paraId="233B90B5"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2DCA9B30"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1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 xml:space="preserve"> 学期  任课老师：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许雪林   </w:t>
      </w:r>
    </w:p>
    <w:tbl>
      <w:tblPr>
        <w:tblStyle w:val="11"/>
        <w:tblW w:w="9290" w:type="dxa"/>
        <w:tblInd w:w="-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950"/>
        <w:gridCol w:w="670"/>
        <w:gridCol w:w="1872"/>
        <w:gridCol w:w="488"/>
        <w:gridCol w:w="1405"/>
        <w:gridCol w:w="845"/>
        <w:gridCol w:w="980"/>
      </w:tblGrid>
      <w:tr w14:paraId="7416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080" w:type="dxa"/>
            <w:noWrap w:val="0"/>
            <w:vAlign w:val="center"/>
          </w:tcPr>
          <w:p w14:paraId="19B6E8EB">
            <w:pPr>
              <w:keepLines/>
              <w:ind w:left="-2" w:leftChars="-40" w:right="-105" w:rightChars="-50" w:hanging="82" w:hangingChars="39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950" w:type="dxa"/>
            <w:noWrap w:val="0"/>
            <w:vAlign w:val="center"/>
          </w:tcPr>
          <w:p w14:paraId="069AE9CC"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软件逆向工程原理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670" w:type="dxa"/>
            <w:noWrap w:val="0"/>
            <w:vAlign w:val="center"/>
          </w:tcPr>
          <w:p w14:paraId="0AAA40C3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872" w:type="dxa"/>
            <w:noWrap w:val="0"/>
            <w:vAlign w:val="center"/>
          </w:tcPr>
          <w:p w14:paraId="5034C456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488" w:type="dxa"/>
            <w:noWrap w:val="0"/>
            <w:vAlign w:val="center"/>
          </w:tcPr>
          <w:p w14:paraId="4EE03006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05" w:type="dxa"/>
            <w:noWrap w:val="0"/>
            <w:vAlign w:val="center"/>
          </w:tcPr>
          <w:p w14:paraId="4B2BBE50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845" w:type="dxa"/>
            <w:noWrap w:val="0"/>
            <w:vAlign w:val="center"/>
          </w:tcPr>
          <w:p w14:paraId="57BDE49C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0" w:type="dxa"/>
            <w:noWrap w:val="0"/>
            <w:vAlign w:val="center"/>
          </w:tcPr>
          <w:p w14:paraId="5C3EA3E8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40A8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080" w:type="dxa"/>
            <w:noWrap w:val="0"/>
            <w:vAlign w:val="center"/>
          </w:tcPr>
          <w:p w14:paraId="5BAD60B2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620" w:type="dxa"/>
            <w:gridSpan w:val="2"/>
            <w:noWrap w:val="0"/>
            <w:vAlign w:val="center"/>
          </w:tcPr>
          <w:p w14:paraId="45387067">
            <w:pPr>
              <w:widowControl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sz w:val="30"/>
                <w:szCs w:val="30"/>
              </w:rPr>
              <w:t>DLL注入</w:t>
            </w:r>
          </w:p>
        </w:tc>
        <w:tc>
          <w:tcPr>
            <w:tcW w:w="1872" w:type="dxa"/>
            <w:noWrap w:val="0"/>
            <w:vAlign w:val="center"/>
          </w:tcPr>
          <w:p w14:paraId="695D695D">
            <w:pPr>
              <w:keepLines/>
              <w:rPr>
                <w:rFonts w:hint="default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实验时间:2024.11.20</w:t>
            </w:r>
          </w:p>
        </w:tc>
        <w:tc>
          <w:tcPr>
            <w:tcW w:w="3718" w:type="dxa"/>
            <w:gridSpan w:val="4"/>
            <w:noWrap w:val="0"/>
            <w:vAlign w:val="center"/>
          </w:tcPr>
          <w:p w14:paraId="4A57646C">
            <w:pPr>
              <w:keepLines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      </w:t>
            </w:r>
            <w:r>
              <w:br w:type="textWrapping"/>
            </w:r>
            <w:r>
              <w:rPr>
                <w:rFonts w:hint="eastAsia"/>
              </w:rPr>
              <w:t xml:space="preserve">提交日期： </w:t>
            </w:r>
            <w:r>
              <w:t xml:space="preserve"> </w:t>
            </w:r>
          </w:p>
        </w:tc>
      </w:tr>
      <w:tr w14:paraId="7DD8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2F108140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026E2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332B154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（1）了解DLL注入的作用。</w:t>
            </w:r>
          </w:p>
          <w:p w14:paraId="162C7C2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（2）熟悉DLL注入方法。</w:t>
            </w:r>
          </w:p>
        </w:tc>
      </w:tr>
      <w:tr w14:paraId="2CF0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7C0C3B9F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1D5E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290" w:type="dxa"/>
            <w:gridSpan w:val="8"/>
            <w:noWrap w:val="0"/>
            <w:vAlign w:val="top"/>
          </w:tcPr>
          <w:p w14:paraId="1E1F3C58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调用CreateRemoteThread()函数创建远程线程</w:t>
            </w:r>
          </w:p>
          <w:p w14:paraId="47C2671F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制作用于</w:t>
            </w:r>
            <w:r>
              <w:rPr>
                <w:sz w:val="28"/>
                <w:szCs w:val="28"/>
              </w:rPr>
              <w:t>注入的DLL文件MyDLL.dll</w:t>
            </w:r>
            <w:r>
              <w:rPr>
                <w:rFonts w:hint="eastAsia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参考MyDLL</w:t>
            </w:r>
            <w:r>
              <w:rPr>
                <w:rFonts w:hint="eastAsia"/>
                <w:sz w:val="28"/>
                <w:szCs w:val="28"/>
              </w:rPr>
              <w:t>文件夹</w:t>
            </w:r>
            <w:r>
              <w:rPr>
                <w:sz w:val="28"/>
                <w:szCs w:val="28"/>
              </w:rPr>
              <w:t>源码；</w:t>
            </w:r>
          </w:p>
          <w:p w14:paraId="0A1C83FB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753735" cy="2836545"/>
                  <wp:effectExtent l="0" t="0" r="0" b="0"/>
                  <wp:docPr id="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735" cy="283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2AB61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编译</w:t>
            </w:r>
            <w:r>
              <w:rPr>
                <w:sz w:val="28"/>
                <w:szCs w:val="28"/>
              </w:rPr>
              <w:t>生成注入工具ConsoleApplication4.exe</w:t>
            </w:r>
            <w:r>
              <w:rPr>
                <w:rFonts w:hint="eastAsia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参考src</w:t>
            </w:r>
            <w:r>
              <w:rPr>
                <w:rFonts w:hint="eastAsia"/>
                <w:sz w:val="28"/>
                <w:szCs w:val="28"/>
              </w:rPr>
              <w:t>文件夹；</w:t>
            </w:r>
          </w:p>
          <w:p w14:paraId="6E0E821A">
            <w:pPr>
              <w:numPr>
                <w:ilvl w:val="0"/>
                <w:numId w:val="0"/>
              </w:numPr>
              <w:ind w:leftChars="0"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先要拿到系统的权限，可以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 O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penProcessToken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和 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AdjustTokenPrivileges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API 提升当前进程的权限，使其具备足够的权限（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SE_DEBUG_NAME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权限）来操作其他进程</w:t>
            </w:r>
          </w:p>
          <w:p w14:paraId="1E824828">
            <w:pPr>
              <w:numPr>
                <w:ilvl w:val="0"/>
                <w:numId w:val="0"/>
              </w:numPr>
              <w:ind w:leftChars="0" w:firstLine="420" w:firstLineChars="200"/>
            </w:pPr>
            <w:r>
              <w:drawing>
                <wp:inline distT="0" distB="0" distL="114300" distR="114300">
                  <wp:extent cx="5751195" cy="2836545"/>
                  <wp:effectExtent l="0" t="0" r="0" b="0"/>
                  <wp:docPr id="2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195" cy="283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1458F">
            <w:pPr>
              <w:numPr>
                <w:ilvl w:val="0"/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再去获取到目标进程的句柄</w:t>
            </w:r>
          </w:p>
          <w:p w14:paraId="0A343DA8">
            <w:pPr>
              <w:numPr>
                <w:ilvl w:val="0"/>
                <w:numId w:val="0"/>
              </w:numPr>
              <w:ind w:leftChars="0" w:firstLine="420" w:firstLineChars="20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48020" cy="2106295"/>
                  <wp:effectExtent l="0" t="0" r="0" b="0"/>
                  <wp:docPr id="3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020" cy="210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799E7">
            <w:pPr>
              <w:numPr>
                <w:ilvl w:val="0"/>
                <w:numId w:val="2"/>
              </w:num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启动</w:t>
            </w:r>
            <w:r>
              <w:rPr>
                <w:sz w:val="28"/>
                <w:szCs w:val="28"/>
              </w:rPr>
              <w:t>test.exe</w:t>
            </w:r>
            <w:r>
              <w:rPr>
                <w:rFonts w:hint="eastAsia"/>
                <w:sz w:val="28"/>
                <w:szCs w:val="28"/>
              </w:rPr>
              <w:t>文件</w:t>
            </w:r>
            <w:r>
              <w:rPr>
                <w:sz w:val="28"/>
                <w:szCs w:val="28"/>
              </w:rPr>
              <w:t>，然后启动注入工具，</w:t>
            </w:r>
            <w:r>
              <w:rPr>
                <w:rFonts w:hint="eastAsia"/>
                <w:sz w:val="28"/>
                <w:szCs w:val="28"/>
              </w:rPr>
              <w:t>启动</w:t>
            </w:r>
            <w:r>
              <w:rPr>
                <w:sz w:val="28"/>
                <w:szCs w:val="28"/>
              </w:rPr>
              <w:t>ProcessExplorer</w:t>
            </w:r>
            <w:r>
              <w:rPr>
                <w:rFonts w:hint="eastAsia"/>
                <w:sz w:val="28"/>
                <w:szCs w:val="28"/>
              </w:rPr>
              <w:t>进行</w:t>
            </w:r>
            <w:r>
              <w:rPr>
                <w:sz w:val="28"/>
                <w:szCs w:val="28"/>
              </w:rPr>
              <w:t>查阅是否注入</w:t>
            </w:r>
            <w:r>
              <w:rPr>
                <w:rFonts w:hint="eastAsia"/>
                <w:sz w:val="28"/>
                <w:szCs w:val="28"/>
              </w:rPr>
              <w:t>成功。</w:t>
            </w:r>
          </w:p>
          <w:p w14:paraId="58546A81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启动程序，将dll注入成功</w:t>
            </w:r>
          </w:p>
          <w:p w14:paraId="0AB1172F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754370" cy="3237230"/>
                  <wp:effectExtent l="0" t="0" r="0" b="0"/>
                  <wp:docPr id="4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370" cy="323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0D9E3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借助</w:t>
            </w:r>
            <w:r>
              <w:rPr>
                <w:sz w:val="28"/>
                <w:szCs w:val="28"/>
              </w:rPr>
              <w:t>工具</w:t>
            </w:r>
            <w:r>
              <w:rPr>
                <w:rFonts w:hint="eastAsia"/>
                <w:sz w:val="28"/>
                <w:szCs w:val="28"/>
              </w:rPr>
              <w:t>修改</w:t>
            </w:r>
            <w:r>
              <w:rPr>
                <w:sz w:val="28"/>
                <w:szCs w:val="28"/>
              </w:rPr>
              <w:t>PE</w:t>
            </w:r>
            <w:r>
              <w:rPr>
                <w:rFonts w:hint="eastAsia"/>
                <w:sz w:val="28"/>
                <w:szCs w:val="28"/>
              </w:rPr>
              <w:t>结构</w:t>
            </w:r>
          </w:p>
          <w:p w14:paraId="33565413">
            <w:pPr>
              <w:numPr>
                <w:ilvl w:val="0"/>
                <w:numId w:val="3"/>
              </w:num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打开</w:t>
            </w:r>
            <w:r>
              <w:rPr>
                <w:sz w:val="28"/>
                <w:szCs w:val="28"/>
              </w:rPr>
              <w:t>CFF Explorer_8.0_hh</w:t>
            </w:r>
            <w:r>
              <w:rPr>
                <w:rFonts w:hint="eastAsia"/>
                <w:sz w:val="28"/>
                <w:szCs w:val="28"/>
              </w:rPr>
              <w:t>软件</w:t>
            </w:r>
            <w:r>
              <w:rPr>
                <w:sz w:val="28"/>
                <w:szCs w:val="28"/>
              </w:rPr>
              <w:t>，然后</w:t>
            </w:r>
            <w:r>
              <w:rPr>
                <w:rFonts w:hint="eastAsia"/>
                <w:sz w:val="28"/>
                <w:szCs w:val="28"/>
              </w:rPr>
              <w:t>拖入</w:t>
            </w:r>
            <w:r>
              <w:rPr>
                <w:sz w:val="28"/>
                <w:szCs w:val="28"/>
              </w:rPr>
              <w:t>test.exe</w:t>
            </w:r>
            <w:r>
              <w:rPr>
                <w:rFonts w:hint="eastAsia"/>
                <w:sz w:val="28"/>
                <w:szCs w:val="28"/>
              </w:rPr>
              <w:t>。</w:t>
            </w:r>
          </w:p>
          <w:p w14:paraId="15C697EE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8"/>
                <w:szCs w:val="28"/>
              </w:rPr>
            </w:pPr>
            <w:r>
              <w:drawing>
                <wp:inline distT="0" distB="0" distL="114300" distR="114300">
                  <wp:extent cx="5760085" cy="2886075"/>
                  <wp:effectExtent l="0" t="0" r="0" b="0"/>
                  <wp:docPr id="5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88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D8CB2">
            <w:pPr>
              <w:numPr>
                <w:ilvl w:val="0"/>
                <w:numId w:val="3"/>
              </w:num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选择“导入</w:t>
            </w:r>
            <w:r>
              <w:rPr>
                <w:sz w:val="28"/>
                <w:szCs w:val="28"/>
              </w:rPr>
              <w:t>添加</w:t>
            </w:r>
            <w:r>
              <w:rPr>
                <w:rFonts w:hint="eastAsia"/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sym w:font="Wingdings" w:char="F0E0"/>
            </w:r>
            <w:r>
              <w:rPr>
                <w:rFonts w:hint="eastAsia"/>
                <w:sz w:val="28"/>
                <w:szCs w:val="28"/>
              </w:rPr>
              <w:t>“添加”</w:t>
            </w:r>
            <w:r>
              <w:rPr>
                <w:sz w:val="28"/>
                <w:szCs w:val="28"/>
              </w:rPr>
              <w:sym w:font="Wingdings" w:char="F0E0"/>
            </w:r>
            <w:r>
              <w:rPr>
                <w:rFonts w:hint="eastAsia"/>
                <w:sz w:val="28"/>
                <w:szCs w:val="28"/>
              </w:rPr>
              <w:t>选择</w:t>
            </w:r>
            <w:r>
              <w:rPr>
                <w:sz w:val="28"/>
                <w:szCs w:val="28"/>
              </w:rPr>
              <w:t>Win32Project1.dll</w:t>
            </w:r>
            <w:r>
              <w:rPr>
                <w:sz w:val="28"/>
                <w:szCs w:val="28"/>
              </w:rPr>
              <w:sym w:font="Wingdings" w:char="F0E0"/>
            </w:r>
            <w:r>
              <w:rPr>
                <w:rFonts w:hint="eastAsia"/>
                <w:sz w:val="28"/>
                <w:szCs w:val="28"/>
              </w:rPr>
              <w:t>“按名称</w:t>
            </w:r>
            <w:r>
              <w:rPr>
                <w:sz w:val="28"/>
                <w:szCs w:val="28"/>
              </w:rPr>
              <w:t>导入</w:t>
            </w:r>
            <w:r>
              <w:rPr>
                <w:rFonts w:hint="eastAsia"/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sym w:font="Wingdings" w:char="F0E0"/>
            </w:r>
            <w:r>
              <w:rPr>
                <w:rFonts w:hint="eastAsia"/>
                <w:sz w:val="28"/>
                <w:szCs w:val="28"/>
              </w:rPr>
              <w:t>“重建</w:t>
            </w:r>
            <w:r>
              <w:rPr>
                <w:sz w:val="28"/>
                <w:szCs w:val="28"/>
              </w:rPr>
              <w:t>导入表</w:t>
            </w:r>
            <w:r>
              <w:rPr>
                <w:rFonts w:hint="eastAsia"/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sym w:font="Wingdings" w:char="F0E0"/>
            </w:r>
            <w:r>
              <w:rPr>
                <w:rFonts w:hint="eastAsia"/>
                <w:sz w:val="28"/>
                <w:szCs w:val="28"/>
              </w:rPr>
              <w:t>“另存</w:t>
            </w:r>
            <w:r>
              <w:rPr>
                <w:sz w:val="28"/>
                <w:szCs w:val="28"/>
              </w:rPr>
              <w:t>为</w:t>
            </w:r>
            <w:r>
              <w:rPr>
                <w:rFonts w:hint="eastAsia"/>
                <w:sz w:val="28"/>
                <w:szCs w:val="28"/>
              </w:rPr>
              <w:t>”。</w:t>
            </w:r>
          </w:p>
          <w:p w14:paraId="721181CA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60085" cy="2894965"/>
                  <wp:effectExtent l="0" t="0" r="0" b="0"/>
                  <wp:docPr id="6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89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4389B5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60720" cy="2997835"/>
                  <wp:effectExtent l="0" t="0" r="0" b="0"/>
                  <wp:docPr id="7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9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96D9F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运行另存的程序</w:t>
            </w:r>
          </w:p>
          <w:p w14:paraId="57ABEC9A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1470660" cy="1554480"/>
                  <wp:effectExtent l="0" t="0" r="0" b="0"/>
                  <wp:docPr id="8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660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7BD51"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成功注入</w:t>
            </w:r>
          </w:p>
          <w:p w14:paraId="56500503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人工</w:t>
            </w:r>
            <w:r>
              <w:rPr>
                <w:sz w:val="28"/>
                <w:szCs w:val="28"/>
              </w:rPr>
              <w:t>修改PE结构</w:t>
            </w:r>
          </w:p>
          <w:p w14:paraId="455DC8EB">
            <w:pPr>
              <w:ind w:firstLine="3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参考</w:t>
            </w:r>
            <w:r>
              <w:rPr>
                <w:sz w:val="28"/>
                <w:szCs w:val="28"/>
              </w:rPr>
              <w:t>教材P91</w:t>
            </w:r>
            <w:r>
              <w:rPr>
                <w:rFonts w:hint="eastAsia"/>
                <w:sz w:val="28"/>
                <w:szCs w:val="28"/>
              </w:rPr>
              <w:t>页在</w:t>
            </w:r>
            <w:r>
              <w:rPr>
                <w:sz w:val="28"/>
                <w:szCs w:val="28"/>
              </w:rPr>
              <w:t>winxp下完成，参考代码见MyDLL.zip</w:t>
            </w:r>
          </w:p>
          <w:p w14:paraId="10569086">
            <w:pPr>
              <w:ind w:firstLine="36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使用peview工具查看程序导入表</w:t>
            </w:r>
          </w:p>
          <w:p w14:paraId="670E2C17">
            <w:pPr>
              <w:ind w:firstLine="360"/>
            </w:pPr>
            <w:r>
              <w:drawing>
                <wp:inline distT="0" distB="0" distL="114300" distR="114300">
                  <wp:extent cx="5754370" cy="3101975"/>
                  <wp:effectExtent l="0" t="0" r="11430" b="9525"/>
                  <wp:docPr id="9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370" cy="310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BCC01C">
            <w:pPr>
              <w:ind w:firstLine="360"/>
              <w:rPr>
                <w:rFonts w:hint="default"/>
                <w:lang w:val="en-US" w:eastAsia="zh-CN"/>
              </w:rPr>
            </w:pPr>
          </w:p>
          <w:p w14:paraId="0F4AC87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再用十六进制查看程序，查看导入表数据</w:t>
            </w:r>
          </w:p>
          <w:p w14:paraId="0C5EA5E5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6275" cy="2197100"/>
                  <wp:effectExtent l="0" t="0" r="0" b="0"/>
                  <wp:docPr id="10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784A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查看一下节区表</w:t>
            </w:r>
          </w:p>
          <w:p w14:paraId="76E4E669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6275" cy="2931160"/>
                  <wp:effectExtent l="0" t="0" r="0" b="0"/>
                  <wp:docPr id="11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293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8B69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.rsrc的内存地址和外存地址相差224字节可以塞入一个dll，将导入表的数据复制到这</w:t>
            </w:r>
          </w:p>
          <w:p w14:paraId="33066C27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6275" cy="2199640"/>
                  <wp:effectExtent l="0" t="0" r="0" b="0"/>
                  <wp:docPr id="12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219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9634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修改导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入表指向地址</w:t>
            </w:r>
          </w:p>
          <w:p w14:paraId="0484B58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51195" cy="4874895"/>
                  <wp:effectExtent l="0" t="0" r="0" b="0"/>
                  <wp:docPr id="1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195" cy="487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9C07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再用peview检查导入表</w:t>
            </w:r>
          </w:p>
          <w:p w14:paraId="3760BD1A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4370" cy="3101975"/>
                  <wp:effectExtent l="0" t="0" r="0" b="0"/>
                  <wp:docPr id="14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370" cy="310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A89C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成功修改</w:t>
            </w:r>
          </w:p>
          <w:p w14:paraId="5D3C2D8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找到空白区域填充dll</w:t>
            </w:r>
          </w:p>
          <w:p w14:paraId="053D24CA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48020" cy="3235960"/>
                  <wp:effectExtent l="0" t="0" r="0" b="0"/>
                  <wp:docPr id="15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020" cy="323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76378">
            <w:pPr>
              <w:widowControl w:val="0"/>
              <w:numPr>
                <w:ilvl w:val="0"/>
                <w:numId w:val="0"/>
              </w:numPr>
              <w:jc w:val="both"/>
            </w:pPr>
            <w:r>
              <w:rPr>
                <w:rFonts w:hint="eastAsia"/>
                <w:lang w:val="en-US" w:eastAsia="zh-CN"/>
              </w:rPr>
              <w:t>构建MyDLL3.dll：</w:t>
            </w:r>
          </w:p>
          <w:p w14:paraId="25F77D18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5005" cy="3131820"/>
                  <wp:effectExtent l="0" t="0" r="0" b="0"/>
                  <wp:docPr id="17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313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EF38F">
            <w:pPr>
              <w:numPr>
                <w:ilvl w:val="0"/>
                <w:numId w:val="0"/>
              </w:numPr>
            </w:pPr>
          </w:p>
          <w:p w14:paraId="7F00E24D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1195" cy="4874895"/>
                  <wp:effectExtent l="0" t="0" r="0" b="0"/>
                  <wp:docPr id="1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195" cy="487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F899E">
            <w:pPr>
              <w:widowControl w:val="0"/>
              <w:numPr>
                <w:ilvl w:val="0"/>
                <w:numId w:val="0"/>
              </w:numPr>
              <w:jc w:val="both"/>
            </w:pPr>
            <w:r>
              <w:rPr>
                <w:rFonts w:hint="eastAsia"/>
                <w:lang w:val="en-US" w:eastAsia="zh-CN"/>
              </w:rPr>
              <w:t>PEview查看：</w:t>
            </w:r>
          </w:p>
          <w:p w14:paraId="1B87889B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5005" cy="3131820"/>
                  <wp:effectExtent l="0" t="0" r="0" b="0"/>
                  <wp:docPr id="18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313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18A3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成功导入mydll3.dll</w:t>
            </w:r>
          </w:p>
          <w:p w14:paraId="284569F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 w14:paraId="039E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317EEDF6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</w:tc>
      </w:tr>
      <w:tr w14:paraId="365C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9290" w:type="dxa"/>
            <w:gridSpan w:val="8"/>
            <w:noWrap w:val="0"/>
            <w:vAlign w:val="top"/>
          </w:tcPr>
          <w:p w14:paraId="0452C9A4">
            <w:pPr>
              <w:rPr>
                <w:rFonts w:hint="default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通过本次实验，我深入学习了DLL注入和PE结构修改的技术。首先，通过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CreateRemoteThread()</w:t>
            </w:r>
            <w:r>
              <w:rPr>
                <w:rFonts w:ascii="宋体" w:hAnsi="宋体" w:eastAsia="宋体" w:cs="宋体"/>
                <w:sz w:val="24"/>
                <w:szCs w:val="24"/>
              </w:rPr>
              <w:t>函数将自定义DLL注入目标进程，过程中使用了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OpenProcessToken</w:t>
            </w:r>
            <w:r>
              <w:rPr>
                <w:rFonts w:ascii="宋体" w:hAnsi="宋体" w:eastAsia="宋体" w:cs="宋体"/>
                <w:sz w:val="24"/>
                <w:szCs w:val="24"/>
              </w:rPr>
              <w:t>和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AdjustTokenPrivileges</w:t>
            </w:r>
            <w:r>
              <w:rPr>
                <w:rFonts w:ascii="宋体" w:hAnsi="宋体" w:eastAsia="宋体" w:cs="宋体"/>
                <w:sz w:val="24"/>
                <w:szCs w:val="24"/>
              </w:rPr>
              <w:t>API提升权限，以确保能够操作其他进程。然后，利用</w:t>
            </w:r>
            <w:r>
              <w:rPr>
                <w:rStyle w:val="17"/>
                <w:rFonts w:ascii="宋体" w:hAnsi="宋体" w:eastAsia="宋体" w:cs="宋体"/>
                <w:sz w:val="24"/>
                <w:szCs w:val="24"/>
              </w:rPr>
              <w:t>CFF Explorer</w:t>
            </w:r>
            <w:r>
              <w:rPr>
                <w:rFonts w:ascii="宋体" w:hAnsi="宋体" w:eastAsia="宋体" w:cs="宋体"/>
                <w:sz w:val="24"/>
                <w:szCs w:val="24"/>
              </w:rPr>
              <w:t>等工具修改PE结构，将DLL导入目标程序并重新生成导入表，确保程序能够加载新DLL。最后，通过手动修改PE结构，学习了如何在十六进制中操作导入表和节区表，直接嵌入DLL。</w:t>
            </w:r>
          </w:p>
        </w:tc>
      </w:tr>
      <w:tr w14:paraId="254BF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shd w:val="clear" w:color="auto" w:fill="E0E0E0"/>
            <w:noWrap w:val="0"/>
            <w:vAlign w:val="top"/>
          </w:tcPr>
          <w:p w14:paraId="0A02812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34E3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9290" w:type="dxa"/>
            <w:gridSpan w:val="8"/>
            <w:tcBorders>
              <w:bottom w:val="nil"/>
            </w:tcBorders>
            <w:noWrap w:val="0"/>
            <w:vAlign w:val="top"/>
          </w:tcPr>
          <w:p w14:paraId="3921FA47">
            <w:pPr>
              <w:keepLines/>
              <w:rPr>
                <w:rFonts w:hint="eastAsia"/>
              </w:rPr>
            </w:pPr>
          </w:p>
          <w:p w14:paraId="6E1A55CD">
            <w:pPr>
              <w:keepLines/>
              <w:rPr>
                <w:rFonts w:hint="eastAsia"/>
              </w:rPr>
            </w:pPr>
          </w:p>
        </w:tc>
      </w:tr>
      <w:tr w14:paraId="1AD1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9290" w:type="dxa"/>
            <w:gridSpan w:val="8"/>
            <w:tcBorders>
              <w:top w:val="nil"/>
            </w:tcBorders>
            <w:noWrap w:val="0"/>
            <w:vAlign w:val="center"/>
          </w:tcPr>
          <w:p w14:paraId="7CA37B73"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0F307FB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8074A"/>
    <w:multiLevelType w:val="multilevel"/>
    <w:tmpl w:val="07E8074A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E872FF4"/>
    <w:multiLevelType w:val="multilevel"/>
    <w:tmpl w:val="2E872FF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0982C6E"/>
    <w:multiLevelType w:val="multilevel"/>
    <w:tmpl w:val="50982C6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4058"/>
    <w:rsid w:val="000416D8"/>
    <w:rsid w:val="00060F34"/>
    <w:rsid w:val="00063471"/>
    <w:rsid w:val="00063F51"/>
    <w:rsid w:val="000709B5"/>
    <w:rsid w:val="00075937"/>
    <w:rsid w:val="0009571E"/>
    <w:rsid w:val="000A3E08"/>
    <w:rsid w:val="000A43AD"/>
    <w:rsid w:val="000A53BA"/>
    <w:rsid w:val="000A5732"/>
    <w:rsid w:val="000A6FC4"/>
    <w:rsid w:val="000B78CF"/>
    <w:rsid w:val="000C3B8E"/>
    <w:rsid w:val="000F4DDC"/>
    <w:rsid w:val="00112450"/>
    <w:rsid w:val="00127733"/>
    <w:rsid w:val="00154E4C"/>
    <w:rsid w:val="0015528E"/>
    <w:rsid w:val="001621F2"/>
    <w:rsid w:val="00176544"/>
    <w:rsid w:val="001C2117"/>
    <w:rsid w:val="001C4908"/>
    <w:rsid w:val="001C67F6"/>
    <w:rsid w:val="001D06FE"/>
    <w:rsid w:val="001D6688"/>
    <w:rsid w:val="001F3990"/>
    <w:rsid w:val="001F4217"/>
    <w:rsid w:val="0021149B"/>
    <w:rsid w:val="00220939"/>
    <w:rsid w:val="0024493C"/>
    <w:rsid w:val="00250150"/>
    <w:rsid w:val="00252CD2"/>
    <w:rsid w:val="00254A57"/>
    <w:rsid w:val="002572E6"/>
    <w:rsid w:val="00267780"/>
    <w:rsid w:val="002707EA"/>
    <w:rsid w:val="002B6324"/>
    <w:rsid w:val="00303E32"/>
    <w:rsid w:val="00315FAB"/>
    <w:rsid w:val="00343C18"/>
    <w:rsid w:val="00350688"/>
    <w:rsid w:val="0035355B"/>
    <w:rsid w:val="00353F42"/>
    <w:rsid w:val="00384A66"/>
    <w:rsid w:val="003A532B"/>
    <w:rsid w:val="00421D79"/>
    <w:rsid w:val="0043314B"/>
    <w:rsid w:val="00451961"/>
    <w:rsid w:val="0045241A"/>
    <w:rsid w:val="00454A15"/>
    <w:rsid w:val="00473B2E"/>
    <w:rsid w:val="00487AB8"/>
    <w:rsid w:val="004C0BEE"/>
    <w:rsid w:val="004C553A"/>
    <w:rsid w:val="004E38F8"/>
    <w:rsid w:val="004E5F9B"/>
    <w:rsid w:val="0051674E"/>
    <w:rsid w:val="00552AE6"/>
    <w:rsid w:val="005664BD"/>
    <w:rsid w:val="0057046E"/>
    <w:rsid w:val="0057385A"/>
    <w:rsid w:val="005972D6"/>
    <w:rsid w:val="005A2155"/>
    <w:rsid w:val="005B3584"/>
    <w:rsid w:val="005E6D0D"/>
    <w:rsid w:val="005F6D02"/>
    <w:rsid w:val="0061684E"/>
    <w:rsid w:val="0063520D"/>
    <w:rsid w:val="00654B96"/>
    <w:rsid w:val="006565A0"/>
    <w:rsid w:val="006667DC"/>
    <w:rsid w:val="00666CCC"/>
    <w:rsid w:val="00680375"/>
    <w:rsid w:val="006923A8"/>
    <w:rsid w:val="006B1307"/>
    <w:rsid w:val="006B211D"/>
    <w:rsid w:val="006C30A7"/>
    <w:rsid w:val="006C3255"/>
    <w:rsid w:val="006C4544"/>
    <w:rsid w:val="006D0376"/>
    <w:rsid w:val="006E1E47"/>
    <w:rsid w:val="00736099"/>
    <w:rsid w:val="00746E3F"/>
    <w:rsid w:val="00755ED5"/>
    <w:rsid w:val="007609AC"/>
    <w:rsid w:val="00761C6F"/>
    <w:rsid w:val="00786E25"/>
    <w:rsid w:val="00790A15"/>
    <w:rsid w:val="0079231A"/>
    <w:rsid w:val="007953C4"/>
    <w:rsid w:val="00795767"/>
    <w:rsid w:val="007D5A3C"/>
    <w:rsid w:val="007D7C1E"/>
    <w:rsid w:val="007F4080"/>
    <w:rsid w:val="00851476"/>
    <w:rsid w:val="00896D2A"/>
    <w:rsid w:val="008D04E5"/>
    <w:rsid w:val="008D52E0"/>
    <w:rsid w:val="008D5A8A"/>
    <w:rsid w:val="008E62F7"/>
    <w:rsid w:val="008F0655"/>
    <w:rsid w:val="009210B1"/>
    <w:rsid w:val="00955CE2"/>
    <w:rsid w:val="009714E5"/>
    <w:rsid w:val="0097603E"/>
    <w:rsid w:val="009A13A1"/>
    <w:rsid w:val="009A36E5"/>
    <w:rsid w:val="009B4A3E"/>
    <w:rsid w:val="009D7928"/>
    <w:rsid w:val="00A11F41"/>
    <w:rsid w:val="00A53DEE"/>
    <w:rsid w:val="00A56A17"/>
    <w:rsid w:val="00A60961"/>
    <w:rsid w:val="00A645B9"/>
    <w:rsid w:val="00A65FD2"/>
    <w:rsid w:val="00A82450"/>
    <w:rsid w:val="00A83899"/>
    <w:rsid w:val="00A87DC9"/>
    <w:rsid w:val="00A91153"/>
    <w:rsid w:val="00A95D40"/>
    <w:rsid w:val="00AA3B86"/>
    <w:rsid w:val="00AE6075"/>
    <w:rsid w:val="00AF363F"/>
    <w:rsid w:val="00B0162C"/>
    <w:rsid w:val="00B1017C"/>
    <w:rsid w:val="00B20953"/>
    <w:rsid w:val="00B426B5"/>
    <w:rsid w:val="00B74175"/>
    <w:rsid w:val="00BA0FA6"/>
    <w:rsid w:val="00BC0393"/>
    <w:rsid w:val="00BE4B16"/>
    <w:rsid w:val="00C12131"/>
    <w:rsid w:val="00C14ACC"/>
    <w:rsid w:val="00C23D4B"/>
    <w:rsid w:val="00C24315"/>
    <w:rsid w:val="00C27638"/>
    <w:rsid w:val="00C5418A"/>
    <w:rsid w:val="00C70FE3"/>
    <w:rsid w:val="00C74821"/>
    <w:rsid w:val="00C804C7"/>
    <w:rsid w:val="00C8400E"/>
    <w:rsid w:val="00CD1B55"/>
    <w:rsid w:val="00CE127C"/>
    <w:rsid w:val="00CE340B"/>
    <w:rsid w:val="00D070E5"/>
    <w:rsid w:val="00D53FAC"/>
    <w:rsid w:val="00D60BBD"/>
    <w:rsid w:val="00D67721"/>
    <w:rsid w:val="00D742DC"/>
    <w:rsid w:val="00D82A0C"/>
    <w:rsid w:val="00D90000"/>
    <w:rsid w:val="00D917BB"/>
    <w:rsid w:val="00DB7B1D"/>
    <w:rsid w:val="00DE274D"/>
    <w:rsid w:val="00DE6FEE"/>
    <w:rsid w:val="00E1764E"/>
    <w:rsid w:val="00E578E8"/>
    <w:rsid w:val="00E661EE"/>
    <w:rsid w:val="00E76716"/>
    <w:rsid w:val="00E947A7"/>
    <w:rsid w:val="00EA2E68"/>
    <w:rsid w:val="00EC058D"/>
    <w:rsid w:val="00EE250B"/>
    <w:rsid w:val="00EE5A99"/>
    <w:rsid w:val="00F553D0"/>
    <w:rsid w:val="00F677AC"/>
    <w:rsid w:val="00F853C3"/>
    <w:rsid w:val="00FA2C82"/>
    <w:rsid w:val="00FA467A"/>
    <w:rsid w:val="028A4D16"/>
    <w:rsid w:val="0566313F"/>
    <w:rsid w:val="079A50EF"/>
    <w:rsid w:val="0AFD0EBC"/>
    <w:rsid w:val="0D705284"/>
    <w:rsid w:val="0E1B4EB5"/>
    <w:rsid w:val="159018F8"/>
    <w:rsid w:val="15BF27FC"/>
    <w:rsid w:val="1B246EDB"/>
    <w:rsid w:val="1EFA01E5"/>
    <w:rsid w:val="1F7E6AA8"/>
    <w:rsid w:val="23E55CC0"/>
    <w:rsid w:val="2D800A7D"/>
    <w:rsid w:val="31B83041"/>
    <w:rsid w:val="322438DF"/>
    <w:rsid w:val="33A36274"/>
    <w:rsid w:val="342F59EC"/>
    <w:rsid w:val="34C15FC4"/>
    <w:rsid w:val="375F39C6"/>
    <w:rsid w:val="39456CAF"/>
    <w:rsid w:val="3E972A50"/>
    <w:rsid w:val="455455A1"/>
    <w:rsid w:val="456E01F7"/>
    <w:rsid w:val="49800D41"/>
    <w:rsid w:val="57686641"/>
    <w:rsid w:val="580927F4"/>
    <w:rsid w:val="5A870729"/>
    <w:rsid w:val="5D527DE9"/>
    <w:rsid w:val="63D0577C"/>
    <w:rsid w:val="647B1880"/>
    <w:rsid w:val="695B402C"/>
    <w:rsid w:val="6AFE43AE"/>
    <w:rsid w:val="6B343A28"/>
    <w:rsid w:val="6C5706B3"/>
    <w:rsid w:val="6C754B30"/>
    <w:rsid w:val="72F5541E"/>
    <w:rsid w:val="7DCC3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2"/>
    <w:qFormat/>
    <w:uiPriority w:val="0"/>
    <w:pPr>
      <w:jc w:val="left"/>
    </w:pPr>
  </w:style>
  <w:style w:type="paragraph" w:styleId="6">
    <w:name w:val="Balloon Text"/>
    <w:basedOn w:val="1"/>
    <w:link w:val="23"/>
    <w:qFormat/>
    <w:uiPriority w:val="0"/>
    <w:rPr>
      <w:sz w:val="18"/>
      <w:szCs w:val="18"/>
    </w:rPr>
  </w:style>
  <w:style w:type="paragraph" w:styleId="7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annotation subject"/>
    <w:basedOn w:val="5"/>
    <w:next w:val="5"/>
    <w:link w:val="26"/>
    <w:qFormat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>
    <w:name w:val="Table Simple 3"/>
    <w:basedOn w:val="11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15">
    <w:name w:val="page number"/>
    <w:basedOn w:val="14"/>
    <w:qFormat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HTML Code"/>
    <w:basedOn w:val="14"/>
    <w:qFormat/>
    <w:uiPriority w:val="0"/>
    <w:rPr>
      <w:rFonts w:ascii="Courier New" w:hAnsi="Courier New"/>
      <w:sz w:val="20"/>
    </w:rPr>
  </w:style>
  <w:style w:type="character" w:styleId="18">
    <w:name w:val="annotation reference"/>
    <w:qFormat/>
    <w:uiPriority w:val="0"/>
    <w:rPr>
      <w:sz w:val="21"/>
      <w:szCs w:val="21"/>
    </w:rPr>
  </w:style>
  <w:style w:type="character" w:customStyle="1" w:styleId="19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0">
    <w:name w:val="标题 2 字符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21">
    <w:name w:val="标题 3 字符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22">
    <w:name w:val="批注文字 Char"/>
    <w:link w:val="5"/>
    <w:qFormat/>
    <w:uiPriority w:val="0"/>
    <w:rPr>
      <w:kern w:val="2"/>
      <w:sz w:val="21"/>
      <w:szCs w:val="24"/>
    </w:rPr>
  </w:style>
  <w:style w:type="character" w:customStyle="1" w:styleId="23">
    <w:name w:val="批注框文本 Char"/>
    <w:link w:val="6"/>
    <w:qFormat/>
    <w:uiPriority w:val="0"/>
    <w:rPr>
      <w:kern w:val="2"/>
      <w:sz w:val="18"/>
      <w:szCs w:val="18"/>
    </w:rPr>
  </w:style>
  <w:style w:type="character" w:customStyle="1" w:styleId="24">
    <w:name w:val="页脚 Char"/>
    <w:link w:val="7"/>
    <w:qFormat/>
    <w:uiPriority w:val="0"/>
    <w:rPr>
      <w:kern w:val="2"/>
      <w:sz w:val="18"/>
      <w:szCs w:val="18"/>
    </w:rPr>
  </w:style>
  <w:style w:type="character" w:customStyle="1" w:styleId="25">
    <w:name w:val="页眉 Char"/>
    <w:link w:val="8"/>
    <w:qFormat/>
    <w:uiPriority w:val="0"/>
    <w:rPr>
      <w:kern w:val="2"/>
      <w:sz w:val="18"/>
      <w:szCs w:val="18"/>
    </w:rPr>
  </w:style>
  <w:style w:type="character" w:customStyle="1" w:styleId="26">
    <w:name w:val="批注主题 Char"/>
    <w:link w:val="10"/>
    <w:qFormat/>
    <w:uiPriority w:val="0"/>
    <w:rPr>
      <w:b/>
      <w:bCs/>
      <w:kern w:val="2"/>
      <w:sz w:val="21"/>
      <w:szCs w:val="24"/>
    </w:rPr>
  </w:style>
  <w:style w:type="paragraph" w:customStyle="1" w:styleId="27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649</Words>
  <Characters>990</Characters>
  <Lines>1</Lines>
  <Paragraphs>1</Paragraphs>
  <TotalTime>13</TotalTime>
  <ScaleCrop>false</ScaleCrop>
  <LinksUpToDate>false</LinksUpToDate>
  <CharactersWithSpaces>1054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2021-01-20T18:42:00Z</dcterms:created>
  <dc:creator>SDWM</dc:creator>
  <cp:lastModifiedBy>`</cp:lastModifiedBy>
  <dcterms:modified xsi:type="dcterms:W3CDTF">2024-12-19T03:08:47Z</dcterms:modified>
  <dc:title>福建工程学院信息科学与工程学院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42833DCE3E7F461084199E98CE252DF7_13</vt:lpwstr>
  </property>
</Properties>
</file>