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  <w:jc w:val="left"/>
      </w:pPr>
      <w:r>
        <w:t xml:space="preserve">1. Пользовательские потребности (дополненная версия)</w:t>
      </w:r>
    </w:p>
    <w:p>
      <w:pPr>
        <w:pStyle w:val="Heading3"/>
        <w:spacing w:after="200"/>
        <w:jc w:val="left"/>
      </w:pPr>
      <w:r>
        <w:t xml:space="preserve">1.1. Потребности в мониторинге и контроле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Непрерывный контроль параметров водной среды обитания аквакультуры</w:t>
      </w:r>
      <w:r>
        <w:t xml:space="preserve"> в двух точках: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вход и выход зоны очистных сооружений</w:t>
      </w:r>
      <w:r>
        <w:t xml:space="preserve"> (цикл между рыбоводной зоной и зоной водоочистки)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Перечень контролируемых параметров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Удельное содержание азотистых соединений в ионной форме:</w:t>
      </w:r>
    </w:p>
    <w:p>
      <w:pPr>
        <w:pStyle w:val="ListParagraph"/>
        <w:numPr>
          <w:ilvl w:val="2"/>
          <w:numId w:val="1"/>
        </w:numPr>
        <w:spacing w:after="100"/>
        <w:ind w:left="720"/>
        <w:jc w:val="left"/>
      </w:pPr>
      <w:r>
        <w:rPr>
          <w:b/>
          <w:bCs/>
        </w:rPr>
        <w:t xml:space="preserve">Аммоний (NH₄⁺)</w:t>
      </w:r>
    </w:p>
    <w:p>
      <w:pPr>
        <w:pStyle w:val="ListParagraph"/>
        <w:numPr>
          <w:ilvl w:val="2"/>
          <w:numId w:val="1"/>
        </w:numPr>
        <w:spacing w:after="100"/>
        <w:ind w:left="720"/>
        <w:jc w:val="left"/>
      </w:pPr>
      <w:r>
        <w:rPr>
          <w:b/>
          <w:bCs/>
        </w:rPr>
        <w:t xml:space="preserve">Нитраты (NO₃⁻)</w:t>
      </w:r>
    </w:p>
    <w:p>
      <w:pPr>
        <w:pStyle w:val="ListParagraph"/>
        <w:numPr>
          <w:ilvl w:val="2"/>
          <w:numId w:val="1"/>
        </w:numPr>
        <w:spacing w:after="100"/>
        <w:ind w:left="720"/>
        <w:jc w:val="left"/>
      </w:pPr>
      <w:r>
        <w:rPr>
          <w:b/>
          <w:bCs/>
        </w:rPr>
        <w:t xml:space="preserve">Нитриты (NO₂⁻)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Показатель кислотности (pH)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Удельная электропроводность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Концентрация ионов натрия (Na⁺)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Концентрация растворённого молекулярного кислорода (O₂)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Температура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1.2. Потребности в визуализации и оповещении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Отображение текущих параметров на экране оператора в виде графиков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Трёхуровневая система отклонений от оптимума: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Зелёная зона</w:t>
      </w:r>
      <w:r>
        <w:t xml:space="preserve"> — нормальная эксплуатация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Жёлтая зона</w:t>
      </w:r>
      <w:r>
        <w:t xml:space="preserve"> — зона значительных отклонений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Красная зона</w:t>
      </w:r>
      <w:r>
        <w:t xml:space="preserve"> — зона недопустимых отклонений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Автоматическое уведомление оператора: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при выходе из зелёной зоны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при переходе из жёлтой зоны в красную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Индивидуальные уведомления ответственных лиц (дополнительно согласованным способом) при переходе параметров в красную зону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1.3. Потребности в хранении и передаче данных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Сбор, накопление, усреднение и передача данных в ЦОД предприятия по локальной сети</w:t>
      </w:r>
      <w:r>
        <w:t xml:space="preserve"> (контроллеры приборов)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Хранение логов показаний в ЦОД предприятия в удобном формате (БД, файлы) за длительный период (например, год)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Регулярная асинхронная выгрузка накопленной информации на удалённый сервер для анализа и поиска корреляций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Хранение данных на удалённом сервере за многие годы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Защита каналов связи (VPN) при удалённом доступе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1.4. Потребности в интеграции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Использование существующего прибора </w:t>
      </w:r>
      <w:r>
        <w:rPr>
          <w:b/>
          <w:bCs/>
        </w:rPr>
        <w:t xml:space="preserve">АТОН-801</w:t>
      </w:r>
      <w:r>
        <w:t xml:space="preserve">, установленного в лаборатории ВИШ МИФИ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Необходимость изучения протоколов обмена, управления и самодиагностики прибора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1.5. Потребности в доступе и администрировании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Непрерывный доступ с АРМ оператора к ЦОД предприятия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Удалённый доступ ответственных работников (ноутбук, планшет, телефон) через Интернет по VPN с авторизацией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Доступ аналитиков-технологов к базе данных на удалённом сервере через Интернет с отдельными правами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Разграничение ролей пользователей: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Оператор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Ответственный работник (инженер, технолог)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Аналитик-технолог (научный сотрудник)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Администратор системы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Управление доступом и резервное копирование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2026-03-18T17:29:07.961Z</dcterms:created>
  <dcterms:modified xsi:type="dcterms:W3CDTF">2026-03-18T17:29:07.961Z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