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20"/>
        <w:contextualSpacing/>
        <w:jc w:val="both"/>
        <w:rPr>
          <w:rFonts w:ascii="Times New Roman" w:hAnsi="Times New Roman" w:cs="Times New Roman"/>
          <w:sz w:val="24"/>
          <w:szCs w:val="24"/>
          <w:highlight w:val="yellow"/>
        </w:rPr>
      </w:pPr>
      <w:r>
        <w:rPr>
          <w:rFonts w:cs="Times New Roman" w:ascii="Times New Roman" w:hAnsi="Times New Roman"/>
          <w:sz w:val="24"/>
          <w:szCs w:val="24"/>
          <w:highlight w:val="yellow"/>
        </w:rPr>
        <w:t>1) ОТНОСИТЕЛЬНО ТЕКСТА КОММЕНТАРИЕВ НЕТ, ВСЕ ХОРОШО</w:t>
      </w:r>
    </w:p>
    <w:p>
      <w:pPr>
        <w:pStyle w:val="Normal"/>
        <w:spacing w:lineRule="auto" w:line="360" w:before="120" w:after="120"/>
        <w:contextualSpacing/>
        <w:jc w:val="both"/>
        <w:rPr>
          <w:rFonts w:ascii="Times New Roman" w:hAnsi="Times New Roman" w:cs="Times New Roman"/>
          <w:sz w:val="24"/>
          <w:szCs w:val="24"/>
          <w:highlight w:val="yellow"/>
        </w:rPr>
      </w:pPr>
      <w:r>
        <w:rPr>
          <w:rFonts w:cs="Times New Roman" w:ascii="Times New Roman" w:hAnsi="Times New Roman"/>
          <w:sz w:val="24"/>
          <w:szCs w:val="24"/>
          <w:highlight w:val="yellow"/>
        </w:rPr>
        <w:t>2) ВСЕ ПОКАЗАТЕЛИ НЕОБХОДИМО ПРЕДСТАВИТЬ НА КАРТЕ. ЕСЛИ ОНИ НЕ ТОЧЕЧНЫЕ, ИМЕЕТСЯ РЕТРОСПЕКТИВА, НАНЕСТИ НА КАРТУ СРЕДНЕГОДОВОЙ ПОКАЗАТЕЛЬ ПО РЕГИОНАМ ЗА ПЕРИОД НАЧАЛА И ПЕРИОД ОКОНЧАНИЯ (Т.Е. БУДЕТ ДВА РИСУНКА ДЛЯ ПОКАЗАТЕЛЯ). ЛУЧШЕ ИСПОЛЬЗОВАТЬ ОДИНАКОВЫЕ ЦВЕТА ДЛЯ ВСЕХ КАРТ, ЧТОБ НЕ ПЕСТРИЛО.</w:t>
      </w:r>
    </w:p>
    <w:p>
      <w:pPr>
        <w:pStyle w:val="Normal"/>
        <w:spacing w:lineRule="auto" w:line="360" w:before="120" w:after="120"/>
        <w:contextualSpacing/>
        <w:jc w:val="both"/>
        <w:rPr>
          <w:rFonts w:ascii="Times New Roman" w:hAnsi="Times New Roman" w:cs="Times New Roman"/>
          <w:sz w:val="24"/>
          <w:szCs w:val="24"/>
          <w:highlight w:val="yellow"/>
        </w:rPr>
      </w:pPr>
      <w:r>
        <w:rPr>
          <w:rFonts w:cs="Times New Roman" w:ascii="Times New Roman" w:hAnsi="Times New Roman"/>
          <w:sz w:val="24"/>
          <w:szCs w:val="24"/>
          <w:highlight w:val="yellow"/>
        </w:rPr>
        <w:t>3) ПОСМОТРЕТЬ АНАЛОГИ ПОКАЗАТЕЛЮ «ГЛУБИНА ПЕРЕРАБОТКИ», НИЖЕ ПО ТЕКСТУ ЕСТЬ ПРИМЕРЫ. РАСЧИТАТЬ И ОПИСАТЬ ИХ, НАНЕСТИ НА РЕГИОНАЛЬНУЮ КАРТУ.</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highlight w:val="yellow"/>
        </w:rPr>
        <w:t>4) НА ВСЕ РИСУНКИ РЕГИОНАЛЬНЫХ КАРТ НЕОБХОДИМЫ ССЫЛКИ С АВТОМАТИЧЕСКИМ СЧЕТЧИКОМ.</w:t>
      </w:r>
    </w:p>
    <w:p>
      <w:pPr>
        <w:pStyle w:val="Normal"/>
        <w:spacing w:lineRule="auto" w:line="360" w:before="120" w:after="120"/>
        <w:contextualSpacing/>
        <w:jc w:val="both"/>
        <w:rPr>
          <w:rFonts w:ascii="Times New Roman" w:hAnsi="Times New Roman" w:cs="Times New Roman"/>
          <w:b/>
          <w:b/>
          <w:bCs/>
          <w:sz w:val="24"/>
          <w:szCs w:val="24"/>
        </w:rPr>
      </w:pPr>
      <w:r>
        <w:rPr>
          <w:rFonts w:cs="Times New Roman" w:ascii="Times New Roman" w:hAnsi="Times New Roman"/>
          <w:b/>
          <w:sz w:val="24"/>
          <w:szCs w:val="24"/>
        </w:rPr>
        <w:t xml:space="preserve">4 </w:t>
      </w:r>
      <w:r>
        <w:rPr>
          <w:rFonts w:eastAsia="Times New Roman" w:cs="Times New Roman" w:ascii="Times New Roman" w:hAnsi="Times New Roman"/>
          <w:b/>
          <w:sz w:val="24"/>
          <w:szCs w:val="24"/>
        </w:rPr>
        <w:t>Формирование аналитических показателей использования собранной статистики</w:t>
      </w:r>
    </w:p>
    <w:p>
      <w:pPr>
        <w:pStyle w:val="Heading"/>
        <w:spacing w:lineRule="auto" w:line="360" w:before="240" w:after="12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4.1 Аналитические показатели для рынка нефти и нефтепродуктов</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lang w:val="en-US"/>
        </w:rPr>
        <w:t>4.1.</w:t>
      </w:r>
      <w:r>
        <w:rPr>
          <w:rFonts w:cs="Times New Roman" w:ascii="Times New Roman" w:hAnsi="Times New Roman"/>
          <w:sz w:val="24"/>
          <w:szCs w:val="24"/>
        </w:rPr>
        <w:t>1. Глубина переработки</w:t>
      </w:r>
    </w:p>
    <w:p>
      <w:pPr>
        <w:pStyle w:val="Normal"/>
        <w:spacing w:lineRule="auto" w:line="360" w:before="120" w:after="120"/>
        <w:contextualSpacing/>
        <w:jc w:val="both"/>
        <w:rPr/>
      </w:pPr>
      <w:r>
        <w:rPr>
          <w:rFonts w:cs="Times New Roman" w:ascii="Times New Roman" w:hAnsi="Times New Roman"/>
          <w:sz w:val="24"/>
          <w:szCs w:val="24"/>
        </w:rPr>
        <w:t xml:space="preserve">Показатель глубина переработки нефти отражает долю производства нефтепродуктов (за исключением мазута) в общем объеме переработки нефти. Рассчитывается по формуле </w:t>
      </w:r>
      <w:r>
        <w:rPr>
          <w:rFonts w:cs="Times New Roman" w:ascii="Times New Roman" w:hAnsi="Times New Roman"/>
          <w:sz w:val="24"/>
          <w:szCs w:val="24"/>
        </w:rPr>
        <w:fldChar w:fldCharType="begin"/>
      </w:r>
      <w:r>
        <w:rPr>
          <w:sz w:val="24"/>
          <w:szCs w:val="24"/>
          <w:rFonts w:cs="Times New Roman" w:ascii="Times New Roman" w:hAnsi="Times New Roman"/>
        </w:rPr>
        <w:instrText> REF _Ref231267833 \h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firstColumn="1" w:lastColumn="1" w:noHBand="0"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d</m:t>
                  </m:r>
                </m:e>
                <m:sub>
                  <m:r>
                    <w:rPr>
                      <w:rFonts w:ascii="Cambria Math" w:hAnsi="Cambria Math"/>
                    </w:rPr>
                    <m:t xml:space="preserve">oil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oil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maz</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lost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num>
                <m:den>
                  <m:sSub>
                    <m:e>
                      <m:r>
                        <w:rPr>
                          <w:rFonts w:ascii="Cambria Math" w:hAnsi="Cambria Math"/>
                        </w:rPr>
                        <m:t xml:space="preserve">V</m:t>
                      </m:r>
                    </m:e>
                    <m:sub>
                      <m:r>
                        <w:rPr>
                          <w:rFonts w:ascii="Cambria Math" w:hAnsi="Cambria Math"/>
                        </w:rPr>
                        <m:t xml:space="preserve">ref</m:t>
                      </m:r>
                    </m:sub>
                  </m:sSub>
                </m:den>
              </m:f>
              <m:r>
                <w:rPr>
                  <w:rFonts w:ascii="Cambria Math" w:hAnsi="Cambria Math"/>
                </w:rPr>
                <m:t xml:space="preserve">∗</m:t>
              </m:r>
              <m:r>
                <w:rPr>
                  <w:rFonts w:ascii="Cambria Math" w:hAnsi="Cambria Math"/>
                </w:rPr>
                <m:t xml:space="preserve">100</m:t>
              </m:r>
              <m:r>
                <m:rPr>
                  <m:lit/>
                  <m:nor/>
                </m:rPr>
                <w:rPr>
                  <w:rFonts w:ascii="Cambria Math" w:hAnsi="Cambria Math"/>
                </w:rPr>
                <m:t xml:space="preserve">%</m:t>
              </m:r>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bookmarkStart w:id="0" w:name="_Ref231267833"/>
            <w:r>
              <w:rPr/>
              <w:t>(</w:t>
            </w:r>
            <w:r>
              <w:rPr/>
              <w:fldChar w:fldCharType="begin"/>
            </w:r>
            <w:r>
              <w:rPr/>
              <w:instrText> SEQ Формула \* ARABIC </w:instrText>
            </w:r>
            <w:r>
              <w:rPr/>
              <w:fldChar w:fldCharType="separate"/>
            </w:r>
            <w:r>
              <w:rPr/>
              <w:t>1</w:t>
            </w:r>
            <w:r>
              <w:rPr/>
              <w:fldChar w:fldCharType="end"/>
            </w:r>
            <w:r>
              <w:rPr/>
              <w:t>)</w:t>
            </w:r>
            <w:bookmarkEnd w:id="0"/>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oil</m:t>
            </m:r>
          </m:sub>
        </m:sSub>
      </m:oMath>
      <w:r>
        <w:rPr>
          <w:rFonts w:cs="Times New Roman" w:ascii="Times New Roman" w:hAnsi="Times New Roman"/>
          <w:sz w:val="24"/>
          <w:szCs w:val="24"/>
        </w:rPr>
        <w:t xml:space="preserve"> – объём переработки нефти, </w:t>
      </w:r>
      <w:r>
        <w:rPr/>
      </w:r>
      <m:oMath xmlns:m="http://schemas.openxmlformats.org/officeDocument/2006/math">
        <m:sSub>
          <m:e>
            <m:r>
              <w:rPr>
                <w:rFonts w:ascii="Cambria Math" w:hAnsi="Cambria Math"/>
              </w:rPr>
              <m:t xml:space="preserve">V</m:t>
            </m:r>
          </m:e>
          <m:sub>
            <m:r>
              <w:rPr>
                <w:rFonts w:ascii="Cambria Math" w:hAnsi="Cambria Math"/>
              </w:rPr>
              <m:t xml:space="preserve">maz</m:t>
            </m:r>
          </m:sub>
        </m:sSub>
      </m:oMath>
      <w:r>
        <w:rPr>
          <w:rFonts w:cs="Times New Roman" w:ascii="Times New Roman" w:hAnsi="Times New Roman"/>
          <w:sz w:val="24"/>
          <w:szCs w:val="24"/>
        </w:rPr>
        <w:t xml:space="preserve"> – объём производства мазута, </w:t>
      </w:r>
      <w:r>
        <w:rPr/>
      </w:r>
      <m:oMath xmlns:m="http://schemas.openxmlformats.org/officeDocument/2006/math">
        <m:sSub>
          <m:e>
            <m:r>
              <w:rPr>
                <w:rFonts w:ascii="Cambria Math" w:hAnsi="Cambria Math"/>
              </w:rPr>
              <m:t xml:space="preserve">V</m:t>
            </m:r>
          </m:e>
          <m:sub>
            <m:r>
              <w:rPr>
                <w:rFonts w:ascii="Cambria Math" w:hAnsi="Cambria Math"/>
              </w:rPr>
              <m:t xml:space="preserve">lost</m:t>
            </m:r>
          </m:sub>
        </m:sSub>
      </m:oMath>
      <w:r>
        <w:rPr>
          <w:rFonts w:cs="Times New Roman" w:ascii="Times New Roman" w:hAnsi="Times New Roman"/>
        </w:rPr>
        <w:t xml:space="preserve"> </w:t>
      </w:r>
      <w:r>
        <w:rPr>
          <w:rFonts w:cs="Times New Roman" w:ascii="Times New Roman" w:hAnsi="Times New Roman"/>
          <w:sz w:val="24"/>
          <w:szCs w:val="24"/>
        </w:rPr>
        <w:t xml:space="preserve">– объём потерь, </w:t>
      </w:r>
      <w:r>
        <w:rPr/>
      </w:r>
      <m:oMath xmlns:m="http://schemas.openxmlformats.org/officeDocument/2006/math">
        <m:sSub>
          <m:e>
            <m:r>
              <w:rPr>
                <w:rFonts w:ascii="Cambria Math" w:hAnsi="Cambria Math"/>
              </w:rPr>
              <m:t xml:space="preserve">V</m:t>
            </m:r>
          </m:e>
          <m:sub>
            <m:r>
              <w:rPr>
                <w:rFonts w:ascii="Cambria Math" w:hAnsi="Cambria Math"/>
              </w:rPr>
              <m:t xml:space="preserve">g</m:t>
            </m:r>
          </m:sub>
        </m:sSub>
      </m:oMath>
      <w:r>
        <w:rPr>
          <w:rFonts w:cs="Times New Roman" w:ascii="Times New Roman" w:hAnsi="Times New Roman"/>
          <w:sz w:val="24"/>
          <w:szCs w:val="24"/>
        </w:rPr>
        <w:t xml:space="preserve"> – объем сухого газа от переработанной нефти, использованной как топливо, </w:t>
      </w:r>
      <w:r>
        <w:rPr/>
      </w:r>
      <m:oMath xmlns:m="http://schemas.openxmlformats.org/officeDocument/2006/math">
        <m:sSub>
          <m:e>
            <m:r>
              <w:rPr>
                <w:rFonts w:ascii="Cambria Math" w:hAnsi="Cambria Math"/>
              </w:rPr>
              <m:t xml:space="preserve">V</m:t>
            </m:r>
          </m:e>
          <m:sub>
            <m:r>
              <w:rPr>
                <w:rFonts w:ascii="Cambria Math" w:hAnsi="Cambria Math"/>
              </w:rPr>
              <m:t xml:space="preserve">ref</m:t>
            </m:r>
          </m:sub>
        </m:sSub>
      </m:oMath>
      <w:r>
        <w:rPr>
          <w:rFonts w:cs="Times New Roman" w:ascii="Times New Roman" w:hAnsi="Times New Roman"/>
          <w:sz w:val="24"/>
          <w:szCs w:val="24"/>
        </w:rPr>
        <w:t xml:space="preserve"> – объём переработки * 100 %.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В России показатель глубины переработки нефти используется как показатель эффективности нефтепереработки, хотя часто высокий показатель глубины переработки не свидетельствует о высоком уровне развития производства. Например, при переходе на переработку нефти с месторождения с более высоким содержанием светлых нефтепродуктов данный показатель заметно возрастет, хотя никаких работ по реконструкции или введению в эксплуатацию новых установок не производилось. Также этот показатель не учитывает качества производимой продукции и лишь частично отражает уровень внедрения процессов переработки остаточного сырья на предприятии.</w:t>
      </w:r>
    </w:p>
    <w:p>
      <w:pPr>
        <w:pStyle w:val="Normal"/>
        <w:spacing w:lineRule="auto" w:line="360" w:before="120" w:after="120"/>
        <w:contextualSpacing/>
        <w:jc w:val="both"/>
        <w:rPr/>
      </w:pPr>
      <w:r>
        <w:rPr>
          <w:rFonts w:cs="Times New Roman" w:ascii="Times New Roman" w:hAnsi="Times New Roman"/>
          <w:sz w:val="24"/>
          <w:szCs w:val="24"/>
        </w:rPr>
        <w:t xml:space="preserve">Средняя глубина переработки нефти на российских НПЗ в 2018 году составила 82,2 % </w:t>
      </w:r>
      <w:sdt>
        <w:sdtPr>
          <w:citation/>
        </w:sdtPr>
        <w:sdtContent>
          <w:r>
            <w:rPr/>
            <w:fldChar w:fldCharType="begin"/>
          </w:r>
          <w:r>
            <w:rPr/>
            <w:instrText> CITATION Глу19 \l 1049 </w:instrText>
          </w:r>
          <w:r>
            <w:rPr/>
            <w:fldChar w:fldCharType="separate"/>
          </w:r>
          <w:r>
            <w:rPr/>
            <w:t>[1]</w:t>
          </w:r>
          <w:r>
            <w:rPr/>
            <w:fldChar w:fldCharType="end"/>
          </w:r>
        </w:sdtContent>
      </w:sdt>
      <w:r>
        <w:rPr>
          <w:rFonts w:cs="Times New Roman" w:ascii="Times New Roman" w:hAnsi="Times New Roman"/>
          <w:sz w:val="24"/>
          <w:szCs w:val="24"/>
        </w:rPr>
        <w:t xml:space="preserve">, что на 1,2 % выше уровня предыдущего года и также является историческим максимумом (показатель рассчитывается с 1995 года). Но несмотря на стимулирование роста глубины переработки в структуре выпуска нефтепродуктов доминирует производство тяжелых и средних фракций с низкой добавленной стоимостью. </w:t>
      </w:r>
    </w:p>
    <w:p>
      <w:pPr>
        <w:pStyle w:val="Normal"/>
        <w:spacing w:lineRule="auto" w:line="360" w:before="120" w:after="120"/>
        <w:contextualSpacing/>
        <w:jc w:val="both"/>
        <w:rPr/>
      </w:pPr>
      <w:r>
        <w:rPr>
          <w:rFonts w:cs="Times New Roman" w:ascii="Times New Roman" w:hAnsi="Times New Roman"/>
          <w:sz w:val="24"/>
          <w:szCs w:val="24"/>
          <w:highlight w:val="yellow"/>
        </w:rPr>
        <w:t xml:space="preserve">Глубина переработки возрастет до 92–95 % к 2040 году за счет того закрытия НПЗ, неспособных производить достаточные объемы нефтепродуктов 5-го экологического класса, в сочетании с модернизацией других НПЗ, преимущественно направленной на углубление переработки с целью снижения выпуска мазута </w:t>
      </w:r>
      <w:sdt>
        <w:sdtPr>
          <w:citation/>
        </w:sdtPr>
        <w:sdtContent>
          <w:r>
            <w:rPr/>
            <w:fldChar w:fldCharType="begin"/>
          </w:r>
          <w:r>
            <w:rPr/>
            <w:instrText>CITATION ААМ19 \l 1049 </w:instrText>
          </w:r>
          <w:r>
            <w:rPr/>
            <w:fldChar w:fldCharType="separate"/>
          </w:r>
          <w:r>
            <w:rPr/>
            <w:t>[2]</w:t>
          </w:r>
          <w:r>
            <w:rPr/>
            <w:fldChar w:fldCharType="end"/>
          </w:r>
        </w:sdtContent>
      </w:sdt>
      <w:r>
        <w:rPr>
          <w:rFonts w:cs="Times New Roman" w:ascii="Times New Roman" w:hAnsi="Times New Roman"/>
          <w:sz w:val="24"/>
          <w:szCs w:val="24"/>
          <w:highlight w:val="yellow"/>
        </w:rPr>
        <w:t>.</w:t>
      </w:r>
      <w:r>
        <w:rPr>
          <w:rFonts w:cs="Times New Roman" w:ascii="Times New Roman" w:hAnsi="Times New Roman"/>
          <w:sz w:val="24"/>
          <w:szCs w:val="24"/>
          <w:highlight w:val="yellow"/>
        </w:rPr>
        <w:t>// ЭТОТ КУСОК ЛУЧШЕ УБРАТЬ. ПО ТЕКУЩЕМУ ЗАКОНОДАТЕЛЬСТВУ СУБСИДИРУЮТСЯ ПОЧТИ ВСЕ НПЗ, ЕСЛИ НЕ РАССМАТРИВАТЬ МИНИ-НПЗ И ПОДПОЛЬНЫЕ ПРЕДПРИЯТИЯ. ЗАКРЫВАТЬ НИКОГО НЕ ПЛАНИРУЮТ ПОКА…СКОРЕЕ ВСЕГО ОТРАСЛЬ БУДЕТ КОНСАЛИДИРОВАТЬСЯ. (ТУТ МОЖНО НЕМНОГО ПРОЧИТАТЬ ПРО НАЛОГОВЫЙ МАНЕВР:</w:t>
      </w:r>
    </w:p>
    <w:p>
      <w:pPr>
        <w:pStyle w:val="Normal"/>
        <w:spacing w:lineRule="auto" w:line="360" w:before="120" w:after="120"/>
        <w:contextualSpacing/>
        <w:jc w:val="both"/>
        <w:rPr/>
      </w:pPr>
      <w:hyperlink r:id="rId2">
        <w:r>
          <w:rPr>
            <w:rStyle w:val="InternetLink"/>
            <w:highlight w:val="yellow"/>
          </w:rPr>
          <w:t>https://cyberleninka.ru/article/n/nalogovyy-manevr-v-neftyanoy-otrasli</w:t>
        </w:r>
      </w:hyperlink>
    </w:p>
    <w:p>
      <w:pPr>
        <w:pStyle w:val="Normal"/>
        <w:spacing w:lineRule="auto" w:line="360" w:before="120" w:after="120"/>
        <w:contextualSpacing/>
        <w:jc w:val="both"/>
        <w:rPr/>
      </w:pPr>
      <w:hyperlink r:id="rId3">
        <w:r>
          <w:rPr>
            <w:rStyle w:val="InternetLink"/>
            <w:highlight w:val="yellow"/>
          </w:rPr>
          <w:t>https://cyberleninka.ru/article/n/nalogovyy-manevr-v-neftyanoy-otrasli-blagopriyatnyy-moment-dlya-zaversheniya</w:t>
        </w:r>
      </w:hyperlink>
    </w:p>
    <w:p>
      <w:pPr>
        <w:pStyle w:val="Normal"/>
        <w:spacing w:lineRule="auto" w:line="360" w:before="120" w:after="120"/>
        <w:contextualSpacing/>
        <w:jc w:val="both"/>
        <w:rPr/>
      </w:pPr>
      <w:hyperlink r:id="rId4">
        <w:r>
          <w:rPr>
            <w:rStyle w:val="InternetLink"/>
            <w:highlight w:val="yellow"/>
          </w:rPr>
          <w:t>https://cyberleninka.ru/article/n/nalogovyi-manevr-v-neftyanoi-otrasli-riski-ruchnogo-regulirovaniya</w:t>
        </w:r>
      </w:hyperlink>
    </w:p>
    <w:p>
      <w:pPr>
        <w:pStyle w:val="Normal"/>
        <w:spacing w:lineRule="auto" w:line="360" w:before="120" w:after="120"/>
        <w:contextualSpacing/>
        <w:jc w:val="both"/>
        <w:rPr/>
      </w:pPr>
      <w:hyperlink r:id="rId5">
        <w:r>
          <w:rPr>
            <w:rStyle w:val="InternetLink"/>
            <w:highlight w:val="yellow"/>
          </w:rPr>
          <w:t>https://cyberleninka.ru/article/n/zamorozka-tsen-na-nefteprodukty-ostanovka-nalogovogo-manevra</w:t>
        </w:r>
      </w:hyperlink>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Используемые данные – «Глубина переработки, %» – готовый показатель, рассчитанный для 36 из 89 НПЗ, находящихся на территории РФ. </w:t>
      </w:r>
      <w:r>
        <w:rPr>
          <w:rFonts w:cs="Times New Roman" w:ascii="Times New Roman" w:hAnsi="Times New Roman"/>
          <w:sz w:val="24"/>
          <w:szCs w:val="24"/>
          <w:highlight w:val="yellow"/>
        </w:rPr>
        <w:t>//СКОРЕЕ ВСЕГО ТЫ СУММИРОВАЛА ГАЗОПЕРЕРАБАТЫВАЮЩИЕ ЗАВОДЫ И Т.П., НА САМОМ ДЕЛЕ ИХ МЕНЬШЕ, ЧЕМ 89, ОКОЛО 40.</w:t>
      </w:r>
    </w:p>
    <w:p>
      <w:pPr>
        <w:pStyle w:val="Normal"/>
        <w:spacing w:lineRule="auto" w:line="360" w:before="120" w:after="120"/>
        <w:contextualSpacing/>
        <w:jc w:val="both"/>
        <w:rPr/>
      </w:pPr>
      <w:r>
        <w:rPr>
          <w:rFonts w:cs="Times New Roman" w:ascii="Times New Roman" w:hAnsi="Times New Roman"/>
          <w:sz w:val="24"/>
          <w:szCs w:val="24"/>
        </w:rPr>
        <w:t xml:space="preserve">При усреднении доступных значений глубины переработки НПЗ по соответствующим федеральным округам получаем, что Центральный ФО (4 НПЗ) и Сибирский ФО (4 НПЗ) в среднем имеют самые низкие показатели глубины переработки, 71,7 % и 73, 9 % соответственно, а самые высокие показатели имеют Южный ФО (7 НПЗ) и Северо-Западный ФО (3 НПЗ) с уровнями глубины переработки 82,2 % и 82,5 % соответственно. </w:t>
      </w:r>
      <w:r>
        <w:rPr>
          <w:rFonts w:cs="Times New Roman" w:ascii="Times New Roman" w:hAnsi="Times New Roman"/>
          <w:sz w:val="24"/>
          <w:szCs w:val="24"/>
          <w:highlight w:val="yellow"/>
        </w:rPr>
        <w:t xml:space="preserve">//ДАВАЙ ПОКАЖЕМ ЭТУ СТАТИСТИКУ (СРЕДНЮЮ ГЛУБИНУ ПЕРЕРАБОТКИ) ПО РЕГИОНАМ НА КАРТЕ РОССИИ, МОЖНО ЧЕРЕЗ СЕРВИС </w:t>
      </w:r>
      <w:hyperlink r:id="rId6">
        <w:r>
          <w:rPr>
            <w:rStyle w:val="InternetLink"/>
            <w:rFonts w:cs="Times New Roman" w:ascii="Times New Roman" w:hAnsi="Times New Roman"/>
            <w:sz w:val="24"/>
            <w:szCs w:val="24"/>
            <w:highlight w:val="yellow"/>
          </w:rPr>
          <w:t>https://www.datawrapper.de/</w:t>
        </w:r>
      </w:hyperlink>
      <w:r>
        <w:rPr>
          <w:rFonts w:cs="Times New Roman" w:ascii="Times New Roman" w:hAnsi="Times New Roman"/>
          <w:sz w:val="24"/>
          <w:szCs w:val="24"/>
          <w:highlight w:val="yellow"/>
        </w:rPr>
        <w:t>, МОЖНО НА ПИТОНЕ. РИСУНОК ВСТАВИТЬ В ТЕКСТ И СОСЛАТЬСЯ НА НЕГО</w:t>
      </w:r>
    </w:p>
    <w:p>
      <w:pPr>
        <w:pStyle w:val="Normal"/>
        <w:spacing w:lineRule="auto" w:line="360" w:before="120" w:after="120"/>
        <w:contextualSpacing/>
        <w:jc w:val="both"/>
        <w:rPr/>
      </w:pPr>
      <w:r>
        <w:rPr>
          <w:rFonts w:cs="Times New Roman" w:ascii="Times New Roman" w:hAnsi="Times New Roman"/>
          <w:sz w:val="24"/>
          <w:szCs w:val="24"/>
          <w:highlight w:val="yellow"/>
        </w:rPr>
        <w:t>+ЕСЛИ ГЛУБИНА ПЕРЕРАБОТКИ ПЛОХОЙ ПОКАЗАТЕЛЬ ЭФФЕКТИВНОСТИ ДЛЯ НПЗ, ТО НУЖНО ПОСМОТРЕТЬ ДРУГИЕ, РАСЧИТАТЬ ИХ И ПОКАЗАТЬ НА РЕГИОНАЛЬНОЙ КАРТЕ, НАПРИМЕР: 1) ИНДЕКС НЕЛЬСОНА, 2) ВЫХОД СВЕТЛЫХ НЕФТЕПРОДУКТОВ ИЗ ПОСТУПИВШЕЙ НА ПЕРВИЧНУЮ ПЕРЕРАБОТКУ НЕФТИ, 3) ВЫПУСК БЕНЗИНА…..МОЖЕТ ЕСТЬ ЧТО-ТО ЕЩЕ?!</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4.1.2. Отношение между объемом запасов и объемом добычи.</w:t>
      </w:r>
    </w:p>
    <w:p>
      <w:pPr>
        <w:pStyle w:val="Normal"/>
        <w:spacing w:lineRule="auto" w:line="360" w:before="120" w:after="120"/>
        <w:contextualSpacing/>
        <w:jc w:val="both"/>
        <w:rPr/>
      </w:pPr>
      <w:r>
        <w:rPr>
          <w:rFonts w:cs="Times New Roman" w:ascii="Times New Roman" w:hAnsi="Times New Roman"/>
          <w:sz w:val="24"/>
          <w:szCs w:val="24"/>
        </w:rPr>
        <w:t xml:space="preserve">Показатель отношение между объемом запасов и объемом добычи нефти, также называемый показателем кратности запасов добыче, рассчитывается по формуле </w:t>
      </w:r>
      <w:r>
        <w:rPr>
          <w:rFonts w:cs="Times New Roman" w:ascii="Times New Roman" w:hAnsi="Times New Roman"/>
          <w:sz w:val="24"/>
          <w:szCs w:val="24"/>
        </w:rPr>
        <w:fldChar w:fldCharType="begin"/>
      </w:r>
      <w:r>
        <w:rPr>
          <w:sz w:val="24"/>
          <w:szCs w:val="24"/>
          <w:rFonts w:cs="Times New Roman" w:ascii="Times New Roman" w:hAnsi="Times New Roman"/>
        </w:rPr>
        <w:instrText> REF _Ref18649460 \h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oil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res</m:t>
                      </m:r>
                    </m:sub>
                  </m:sSub>
                </m:num>
                <m:den>
                  <m:sSub>
                    <m:e>
                      <m:r>
                        <w:rPr>
                          <w:rFonts w:ascii="Cambria Math" w:hAnsi="Cambria Math"/>
                        </w:rPr>
                        <m:t xml:space="preserve">V</m:t>
                      </m:r>
                    </m:e>
                    <m:sub>
                      <m:r>
                        <w:rPr>
                          <w:rFonts w:ascii="Cambria Math" w:hAnsi="Cambria Math"/>
                        </w:rPr>
                        <m:t xml:space="preserve">ex</m:t>
                      </m:r>
                    </m:sub>
                  </m:sSub>
                </m:den>
              </m:f>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bookmarkStart w:id="1" w:name="_Ref18649460"/>
            <w:r>
              <w:rPr/>
              <w:t>(</w:t>
            </w:r>
            <w:r>
              <w:rPr/>
              <w:fldChar w:fldCharType="begin"/>
            </w:r>
            <w:r>
              <w:rPr/>
              <w:instrText> SEQ Формула \* ARABIC </w:instrText>
            </w:r>
            <w:r>
              <w:rPr/>
              <w:fldChar w:fldCharType="separate"/>
            </w:r>
            <w:r>
              <w:rPr/>
              <w:t>2</w:t>
            </w:r>
            <w:r>
              <w:rPr/>
              <w:fldChar w:fldCharType="end"/>
            </w:r>
            <w:r>
              <w:rPr/>
              <w:t>)</w:t>
            </w:r>
            <w:bookmarkEnd w:id="1"/>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res</m:t>
            </m:r>
          </m:sub>
        </m:sSub>
      </m:oMath>
      <w:r>
        <w:rPr>
          <w:rFonts w:cs="Times New Roman" w:ascii="Times New Roman" w:hAnsi="Times New Roman"/>
          <w:sz w:val="24"/>
          <w:szCs w:val="24"/>
        </w:rPr>
        <w:t xml:space="preserve"> – текущих разведанных извлекаемых запасов нефти на начало года, т, </w:t>
      </w:r>
      <w:r>
        <w:rPr/>
      </w:r>
      <m:oMath xmlns:m="http://schemas.openxmlformats.org/officeDocument/2006/math">
        <m:sSub>
          <m:e>
            <m:r>
              <w:rPr>
                <w:rFonts w:ascii="Cambria Math" w:hAnsi="Cambria Math"/>
              </w:rPr>
              <m:t xml:space="preserve">V</m:t>
            </m:r>
          </m:e>
          <m:sub>
            <m:r>
              <w:rPr>
                <w:rFonts w:ascii="Cambria Math" w:hAnsi="Cambria Math"/>
              </w:rPr>
              <m:t xml:space="preserve">ex</m:t>
            </m:r>
          </m:sub>
        </m:sSub>
      </m:oMath>
      <w:r>
        <w:rPr>
          <w:rFonts w:cs="Times New Roman" w:ascii="Times New Roman" w:hAnsi="Times New Roman"/>
          <w:sz w:val="24"/>
          <w:szCs w:val="24"/>
        </w:rPr>
        <w:t xml:space="preserve"> – объём добычи нефти за год, т. </w:t>
      </w:r>
    </w:p>
    <w:p>
      <w:pPr>
        <w:pStyle w:val="Normal"/>
        <w:spacing w:lineRule="auto" w:line="360" w:before="120" w:after="120"/>
        <w:contextualSpacing/>
        <w:jc w:val="both"/>
        <w:rPr/>
      </w:pPr>
      <w:r>
        <w:rPr>
          <w:rFonts w:cs="Times New Roman" w:ascii="Times New Roman" w:hAnsi="Times New Roman"/>
          <w:sz w:val="24"/>
          <w:szCs w:val="24"/>
        </w:rPr>
        <w:t xml:space="preserve">Показатель отражает продолжительность существования запасов нефти (в годах) при сохранении объемов добычи на том же уровне без дополнительного прироста запасов. Кратность глобальных запасов нефти к 2018 году снизилась до 57,5 лет, что почти на три года меньше, чем в 2014–2015 году </w:t>
      </w:r>
      <w:sdt>
        <w:sdtPr>
          <w:citation/>
        </w:sdtPr>
        <w:sdtContent>
          <w:r>
            <w:rPr/>
            <w:fldChar w:fldCharType="begin"/>
          </w:r>
          <w:r>
            <w:rPr/>
            <w:instrText> CITATION ОВи18 \l 1049 </w:instrText>
          </w:r>
          <w:r>
            <w:rPr/>
            <w:fldChar w:fldCharType="separate"/>
          </w:r>
          <w:r>
            <w:rPr/>
            <w:t>[3]</w:t>
          </w:r>
          <w:r>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Показатель довольно условно отражает обеспеченность ресурсом того или иного региона, однако может являться отправным критерием для планирования прироста запасов ресурса в перспективе индивидуально для каждого района.</w:t>
      </w:r>
    </w:p>
    <w:p>
      <w:pPr>
        <w:pStyle w:val="Normal"/>
        <w:spacing w:lineRule="auto" w:line="360" w:before="120" w:after="120"/>
        <w:contextualSpacing/>
        <w:jc w:val="both"/>
        <w:rPr/>
      </w:pPr>
      <w:r>
        <w:rPr>
          <w:rFonts w:cs="Times New Roman" w:ascii="Times New Roman" w:hAnsi="Times New Roman"/>
          <w:sz w:val="24"/>
          <w:szCs w:val="24"/>
        </w:rPr>
        <w:t xml:space="preserve">Оптимальное значение показателя обеспеченности добычи разведанными запасами должно быть задано априорно в зависимости от территориального признака и стадии освоения ресурсов, с учетом геолого-физических особенностей открытых и прогнозируемых месторождений и фазы освоения ресурсов района. В достаточно освоенном районе при хорошей организации работ уровень добычи не снижается при кратности 10-12, а в сложных районах при 20-25 </w:t>
      </w:r>
      <w:sdt>
        <w:sdtPr>
          <w:citation/>
        </w:sdtPr>
        <w:sdtContent>
          <w:r>
            <w:rPr/>
            <w:fldChar w:fldCharType="begin"/>
          </w:r>
          <w:r>
            <w:rPr/>
            <w:instrText> CITATION НАК91 \l 1049 </w:instrText>
          </w:r>
          <w:r>
            <w:rPr/>
            <w:fldChar w:fldCharType="separate"/>
          </w:r>
          <w:r>
            <w:rPr/>
            <w:t>[4]</w:t>
          </w:r>
          <w:r>
            <w:rPr/>
            <w:fldChar w:fldCharType="end"/>
          </w:r>
        </w:sdtContent>
      </w:sdt>
      <w:r>
        <w:rPr>
          <w:rFonts w:cs="Times New Roman" w:ascii="Times New Roman" w:hAnsi="Times New Roman"/>
          <w:sz w:val="24"/>
          <w:szCs w:val="24"/>
        </w:rPr>
        <w:t>.</w:t>
      </w:r>
      <w:r>
        <w:rPr>
          <w:rFonts w:cs="Times New Roman" w:ascii="Times New Roman" w:hAnsi="Times New Roman"/>
          <w:sz w:val="24"/>
          <w:szCs w:val="24"/>
        </w:rPr>
        <w:t xml:space="preserve"> При этом </w:t>
      </w:r>
      <w:r>
        <w:rPr>
          <w:rFonts w:eastAsia="Times New Roman" w:cs="Times New Roman" w:ascii="Times New Roman" w:hAnsi="Times New Roman"/>
          <w:sz w:val="24"/>
          <w:szCs w:val="24"/>
        </w:rPr>
        <w:t>оптимальная для компании кратность примерно равна 6, так как в таком случае она максимизирует чистый дисконтированный доход разработки.</w:t>
      </w:r>
    </w:p>
    <w:p>
      <w:pPr>
        <w:pStyle w:val="Normal"/>
        <w:spacing w:lineRule="auto" w:line="360" w:before="120" w:after="120"/>
        <w:contextualSpacing/>
        <w:jc w:val="both"/>
        <w:rPr/>
      </w:pPr>
      <w:r>
        <w:rPr>
          <w:rFonts w:cs="Times New Roman" w:ascii="Times New Roman" w:hAnsi="Times New Roman"/>
          <w:sz w:val="24"/>
          <w:szCs w:val="24"/>
        </w:rPr>
        <w:t xml:space="preserve">В большинстве нефтедобывающих районах этот показатель имеет тенденцию к интенсивному снижению, а после достижения минимума, примерно совпадающего с моментом максимума добычи, к менее интенсивному нарастанию в период снижающейся добычи. Например, в Пермской области в период 1958-1976 гг. добыча возросла в 17,2 раза, а кратность снизилась в 2,9, в период 1977-1990 гг. добыча уменьшилась в 2 раза, а кратность увеличилась к 1985 г. в 1,5 раза </w:t>
      </w:r>
      <w:sdt>
        <w:sdtPr>
          <w:citation/>
        </w:sdtPr>
        <w:sdtContent>
          <w:r>
            <w:rPr/>
            <w:fldChar w:fldCharType="begin"/>
          </w:r>
          <w:r>
            <w:rPr/>
            <w:instrText> CITATION НАК91 \l 1049 </w:instrText>
          </w:r>
          <w:r>
            <w:rPr/>
            <w:fldChar w:fldCharType="separate"/>
          </w:r>
          <w:r>
            <w:rPr/>
            <w:t>[4]</w:t>
          </w:r>
          <w:r>
            <w:rPr/>
            <w:fldChar w:fldCharType="end"/>
          </w:r>
        </w:sdtContent>
      </w:sdt>
      <w:r>
        <w:rPr>
          <w:rFonts w:cs="Times New Roman" w:ascii="Times New Roman" w:hAnsi="Times New Roman"/>
          <w:sz w:val="24"/>
          <w:szCs w:val="24"/>
        </w:rPr>
        <w:t xml:space="preserve">.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Изменение показателя кратности при очень высоких значениях использования начальных потенциальных ресурсов нефти района изучено еще недостаточно. Можно предполагать, что в этот период кратность стабилизируется на некотором высоком уровне, при этом на ее значениях резко сказываются неисправленные погрешности подсчета запасов.</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«Запасы нефти, млрд тонн» – показатель, отражающий объем запасов нефти на начало 2017 года, для большинства нефтедобывающих регионов указанная в государственном докладе Министерства природных ресурсов </w:t>
      </w:r>
      <w:sdt>
        <w:sdtPr>
          <w:citation/>
        </w:sdtPr>
        <w:sdtContent>
          <w:r>
            <w:rPr/>
            <w:fldChar w:fldCharType="begin"/>
          </w:r>
          <w:r>
            <w:rPr/>
            <w:instrText> CITATION Мин18 \l 1049 </w:instrText>
          </w:r>
          <w:r>
            <w:rPr/>
            <w:fldChar w:fldCharType="separate"/>
          </w:r>
          <w:r>
            <w:rPr/>
            <w:t>[5]</w:t>
          </w:r>
          <w:r>
            <w:rPr/>
            <w:fldChar w:fldCharType="end"/>
          </w:r>
        </w:sdtContent>
      </w:sdt>
      <w:r>
        <w:rPr>
          <w:rFonts w:cs="Times New Roman" w:ascii="Times New Roman" w:hAnsi="Times New Roman"/>
          <w:sz w:val="24"/>
          <w:szCs w:val="24"/>
        </w:rPr>
        <w:t xml:space="preserve">. Для остальных субъектов РФ этот показатель была получен из экологических паспортов субъекта </w:t>
      </w:r>
      <w:sdt>
        <w:sdtPr>
          <w:citation/>
        </w:sdtPr>
        <w:sdtContent>
          <w:r>
            <w:rPr/>
            <w:fldChar w:fldCharType="begin"/>
          </w:r>
          <w:r>
            <w:rPr/>
            <w:instrText> CITATION Эко19 \l 1049 </w:instrText>
          </w:r>
          <w:r>
            <w:rPr/>
            <w:fldChar w:fldCharType="separate"/>
          </w:r>
          <w:r>
            <w:rPr/>
            <w:t>[6]</w:t>
          </w:r>
          <w:r>
            <w:rPr/>
            <w:fldChar w:fldCharType="end"/>
          </w:r>
        </w:sdtContent>
      </w:sdt>
      <w:r>
        <w:rPr>
          <w:rFonts w:cs="Times New Roman" w:ascii="Times New Roman" w:hAnsi="Times New Roman"/>
          <w:sz w:val="24"/>
          <w:szCs w:val="24"/>
        </w:rPr>
        <w:t xml:space="preserve">, информации, указанной на сайтах правительства субъекта </w:t>
      </w:r>
      <w:sdt>
        <w:sdtPr>
          <w:citation/>
        </w:sdtPr>
        <w:sdtContent>
          <w:r>
            <w:rPr/>
            <w:fldChar w:fldCharType="begin"/>
          </w:r>
          <w:r>
            <w:rPr/>
            <w:instrText> CITATION Пра19 \l 1049 </w:instrText>
          </w:r>
          <w:r>
            <w:rPr/>
            <w:fldChar w:fldCharType="separate"/>
          </w:r>
          <w:r>
            <w:rPr/>
            <w:t>[7]</w:t>
          </w:r>
          <w:r>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Показатель «Запасы нефти, млрд тонн» отражает только запасы нефти, находящиеся на суше, помимо этих запасов, России также принадлежат запасы, находящиеся на территории Охотского моря, Каспийского моря, Баренцева моря и Карского моря. «Объем добычи нефти, тыс. тонн» за 2017 г доступен из Налоговых паспортов субъектов РФ </w:t>
      </w:r>
      <w:sdt>
        <w:sdtPr>
          <w:citation/>
        </w:sdtPr>
        <w:sdtContent>
          <w:r>
            <w:rPr/>
            <w:fldChar w:fldCharType="begin"/>
          </w:r>
          <w:r>
            <w:rPr/>
            <w:instrText> CITATION Фед19 \l 1049 </w:instrText>
          </w:r>
          <w:r>
            <w:rPr/>
            <w:fldChar w:fldCharType="separate"/>
          </w:r>
          <w:r>
            <w:rPr/>
            <w:t>[8]</w:t>
          </w:r>
          <w:r>
            <w:rPr/>
            <w:fldChar w:fldCharType="end"/>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для каждого из нефтедобывающих субъектов РФ. </w:t>
      </w:r>
    </w:p>
    <w:p>
      <w:pPr>
        <w:pStyle w:val="Normal"/>
        <w:spacing w:lineRule="auto" w:line="360" w:before="120" w:after="120"/>
        <w:contextualSpacing/>
        <w:jc w:val="both"/>
        <w:rPr/>
      </w:pPr>
      <w:r>
        <w:rPr>
          <w:rFonts w:cs="Times New Roman" w:ascii="Times New Roman" w:hAnsi="Times New Roman"/>
          <w:sz w:val="24"/>
          <w:szCs w:val="24"/>
        </w:rPr>
        <w:t xml:space="preserve">По состоянию на 2017 год </w:t>
      </w:r>
      <w:r>
        <w:rPr>
          <w:rFonts w:eastAsia="Times New Roman" w:cs="Times New Roman" w:ascii="Times New Roman" w:hAnsi="Times New Roman"/>
          <w:sz w:val="24"/>
          <w:szCs w:val="24"/>
        </w:rPr>
        <w:t xml:space="preserve">кратность запасов добыче нефти сокращается, поскольку растет степень геологической изученности традиционных регионов нефтедобычи, а при относительно низких ценах на нефть компаниям приходится концентрироваться преимущественно на существующих объектах и в меньшей степени на новых </w:t>
      </w:r>
      <w:sdt>
        <w:sdtPr>
          <w:citation/>
        </w:sdtPr>
        <w:sdtContent>
          <w:r>
            <w:rPr/>
            <w:fldChar w:fldCharType="begin"/>
          </w:r>
          <w:r>
            <w:rPr/>
            <w:instrText> CITATION ЛВЭ18 \l 1049 </w:instrText>
          </w:r>
          <w:r>
            <w:rPr/>
            <w:fldChar w:fldCharType="separate"/>
          </w:r>
          <w:r>
            <w:rPr/>
            <w:t>[5]</w:t>
          </w:r>
          <w:r>
            <w:rPr/>
            <w:fldChar w:fldCharType="end"/>
          </w:r>
        </w:sdtContent>
      </w:sdt>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 В 20 из 32 регионов кратность запасов менее 100 лет, причем в Волгоградской и Сахалинской областях кратность нефти менее 20 лет. Регионы, в которых кратность запасов нефти превышает 1000 лет – Кировская область и Республика Крым – за счет небольших объемов добычи при относительно больших объемах ресурсов</w:t>
      </w:r>
      <w:r>
        <w:rPr>
          <w:rFonts w:cs="Times New Roman" w:ascii="Times New Roman" w:hAnsi="Times New Roman"/>
          <w:sz w:val="24"/>
          <w:szCs w:val="24"/>
        </w:rPr>
        <w:t xml:space="preserve">. </w:t>
      </w:r>
      <w:r>
        <w:rPr>
          <w:rFonts w:cs="Times New Roman" w:ascii="Times New Roman" w:hAnsi="Times New Roman"/>
          <w:sz w:val="24"/>
          <w:szCs w:val="24"/>
          <w:highlight w:val="yellow"/>
        </w:rPr>
        <w:t>//НУЖНО НАРИСОВАТЬ ПОКАЗАТЕЛЬ НА КАРТЕ.</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4.1.3. Цены на нефть и нефтепродукты (бензин всех доступных марок, ДТ, мазут).</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Цены на нефть определяют стоимость нефтепродуктов. В значительной зависимости от цен на нефть находится также цена на природный газ (в европейских странах цена на газ привязана к ценам на конкурирующие виды жидкого топлива с лагом в 6–9 месяцев). На стоимость нефтепродуктов влияют сезонность, проведение сделок по купле-продажа НПЗ или их ремонту, динамика активов ведущих производителей, природные политические и др. факторы. </w:t>
      </w:r>
    </w:p>
    <w:p>
      <w:pPr>
        <w:pStyle w:val="Normal"/>
        <w:spacing w:lineRule="auto" w:line="360" w:before="120" w:after="120"/>
        <w:contextualSpacing/>
        <w:jc w:val="both"/>
        <w:rPr/>
      </w:pPr>
      <w:r>
        <w:rPr>
          <w:rFonts w:cs="Times New Roman" w:ascii="Times New Roman" w:hAnsi="Times New Roman"/>
          <w:sz w:val="24"/>
          <w:szCs w:val="24"/>
        </w:rPr>
        <w:t xml:space="preserve">Колебания цен на нефть оказывают значительное влияние на экономику РФ и состояние российского бюджета – доля нефтегазовых доходов в общих доходах в среднем показателе в 2017 составляла 71 % </w:t>
      </w:r>
      <w:sdt>
        <w:sdtPr>
          <w:citation/>
        </w:sdtPr>
        <w:sdtContent>
          <w:r>
            <w:rPr/>
            <w:fldChar w:fldCharType="begin"/>
          </w:r>
          <w:r>
            <w:rPr/>
            <w:instrText> CITATION БТи18 \l 1049 </w:instrText>
          </w:r>
          <w:r>
            <w:rPr/>
            <w:fldChar w:fldCharType="separate"/>
          </w:r>
          <w:r>
            <w:rPr/>
            <w:t>[6]</w:t>
          </w:r>
          <w:r>
            <w:rPr/>
            <w:fldChar w:fldCharType="end"/>
          </w:r>
        </w:sdtContent>
      </w:sdt>
      <w:r>
        <w:rPr>
          <w:rFonts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данные по средним розничным ценам на нефтепродукты («Бензин А-76, АИ-80», «Бензин АИ-92, АИ-93», «Бензин АИ-95 (включая все модификации)», «Дизельное топливо зимнее», «Дизельное топливо летнее») для крупнейших продавцов топлива (ОАО «Газпром нефть», ОАО «Лукойл», ОАО «НК Альянс», ОАО «НК 'Роснефть», ОАО «Сургутнефтегаз», ОАО «Татнефть», ОАО АНК «Башнефть», ОАО «ТНК-ВР Холдинг», а также для независимых продавцов) доступны за период с 2013/01/01 по 2019/08/12 с недельной периодичностью. Цены указаны за 1 литр топлива. Источник данных – набор данных «Интерактивная карта цен на нефтепродукты в России» </w:t>
      </w:r>
      <w:sdt>
        <w:sdtPr>
          <w:citation/>
        </w:sdtPr>
        <w:sdtContent>
          <w:r>
            <w:rPr/>
            <w:fldChar w:fldCharType="begin"/>
          </w:r>
          <w:r>
            <w:rPr/>
            <w:instrText>CITATION ФНС19 \l 1049 </w:instrText>
          </w:r>
          <w:r>
            <w:rPr/>
            <w:fldChar w:fldCharType="separate"/>
          </w:r>
          <w:r>
            <w:rPr/>
            <w:t>[11]</w:t>
          </w:r>
          <w:r>
            <w:rPr/>
            <w:fldChar w:fldCharType="end"/>
          </w:r>
        </w:sdtContent>
      </w:sdt>
      <w:r>
        <w:rPr>
          <w:rFonts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 xml:space="preserve">Индексы цен на мазут взяты из набора данных «Индексы цен производителей на отдельные виды промышленных товаров по субъектам Российской Федерации» </w:t>
      </w:r>
      <w:sdt>
        <w:sdtPr>
          <w:citation/>
        </w:sdtPr>
        <w:sdtContent>
          <w:r>
            <w:rPr/>
            <w:fldChar w:fldCharType="begin"/>
          </w:r>
          <w:r>
            <w:rPr/>
            <w:instrText>CITATION ЦБС19 \l 1049 </w:instrText>
          </w:r>
          <w:r>
            <w:rPr/>
            <w:fldChar w:fldCharType="separate"/>
          </w:r>
          <w:r>
            <w:rPr/>
            <w:t>[12]</w:t>
          </w:r>
          <w:r>
            <w:rPr/>
            <w:fldChar w:fldCharType="end"/>
          </w:r>
        </w:sdtContent>
      </w:sdt>
      <w:r>
        <w:rPr>
          <w:rFonts w:cs="Times New Roman" w:ascii="Times New Roman" w:hAnsi="Times New Roman"/>
          <w:sz w:val="24"/>
          <w:szCs w:val="24"/>
        </w:rPr>
        <w:t>. Пропуски были частично заполнены индексами по нефтепереработке (набор данных «Индексы цен производителей промышленных товаров по видам экономической деятельности»). Индексы цен доступны по 29 субъектам РФ, с января 2012 по июль 2019 (к предыдущему месяцу). Цены на мазут доступны за февраль 2013 года из набора данных «Региональные оптовые цены на основные нефтепродукты», опубликованном Информационно-аналитическим центром "КОРТЕС"</w:t>
      </w:r>
      <w:r>
        <w:rPr>
          <w:rFonts w:cs="Times New Roman" w:ascii="Times New Roman" w:hAnsi="Times New Roman"/>
          <w:sz w:val="24"/>
          <w:szCs w:val="24"/>
        </w:rPr>
        <w:t xml:space="preserve"> </w:t>
      </w:r>
      <w:sdt>
        <w:sdtPr>
          <w:citation/>
        </w:sdtPr>
        <w:sdtContent>
          <w:r>
            <w:rPr/>
            <w:fldChar w:fldCharType="begin"/>
          </w:r>
          <w:r>
            <w:rPr/>
            <w:instrText> CITATION РЕГ13 \l 1049 </w:instrText>
          </w:r>
          <w:r>
            <w:rPr/>
            <w:fldChar w:fldCharType="separate"/>
          </w:r>
          <w:r>
            <w:rPr/>
            <w:t>[13]</w:t>
          </w:r>
          <w:r>
            <w:rPr/>
            <w:fldChar w:fldCharType="end"/>
          </w:r>
        </w:sdtContent>
      </w:sdt>
      <w:r>
        <w:rPr>
          <w:rFonts w:cs="Times New Roman" w:ascii="Times New Roman" w:hAnsi="Times New Roman"/>
          <w:sz w:val="24"/>
          <w:szCs w:val="24"/>
        </w:rPr>
        <w:t>. По ним с помощью индексов цен были восстановлены цены в другие периоды. Цены указаны за 1 тонну топлива.</w:t>
      </w:r>
    </w:p>
    <w:p>
      <w:pPr>
        <w:pStyle w:val="Normal"/>
        <w:spacing w:lineRule="auto" w:line="360" w:before="120" w:after="120"/>
        <w:contextualSpacing/>
        <w:jc w:val="both"/>
        <w:rPr/>
      </w:pPr>
      <w:r>
        <w:rPr>
          <w:rFonts w:cs="Times New Roman" w:ascii="Times New Roman" w:hAnsi="Times New Roman"/>
          <w:sz w:val="24"/>
          <w:szCs w:val="24"/>
        </w:rPr>
        <w:t xml:space="preserve">Данные по средним ценам производителей по федеральным округам на сырую нефть взяты из набора данных «Средние цены производителей промышленных товаров» </w:t>
      </w:r>
      <w:sdt>
        <w:sdtPr>
          <w:citation/>
        </w:sdtPr>
        <w:sdtContent>
          <w:r>
            <w:rPr/>
            <w:fldChar w:fldCharType="begin"/>
          </w:r>
          <w:r>
            <w:rPr/>
            <w:instrText> CITATION ЦБС19 \l 1049 </w:instrText>
          </w:r>
          <w:r>
            <w:rPr/>
            <w:fldChar w:fldCharType="separate"/>
          </w:r>
          <w:r>
            <w:rPr/>
            <w:t>[12]</w:t>
          </w:r>
          <w:r>
            <w:rPr/>
            <w:fldChar w:fldCharType="end"/>
          </w:r>
        </w:sdtContent>
      </w:sdt>
      <w:r>
        <w:rPr>
          <w:rFonts w:cs="Times New Roman" w:ascii="Times New Roman" w:hAnsi="Times New Roman"/>
          <w:sz w:val="24"/>
          <w:szCs w:val="24"/>
        </w:rPr>
        <w:t>. Показатель «Средние цены производителей за тонну сырой нефти, рубль» для каждого из 6 федеральных округов (Северо-Кавказский федеральный округ в составе Южного федерального округа) получен за период с января 2000 года по декабрь 2009 года с месячной периодичностью, «Средние цены производителей за тонну сырой нефти (внутренний рынок), рубль» для каждого из 7 федеральных округов – за период с января 2010 года по июль 2019 года с месячной периодичностью, «Средние цены производителей за тонну сырой нефти (внутренний и внешний рынок), рубль» для каждого из 7 федеральных округов – за период с января 2012 года по июль 2019 год</w:t>
      </w:r>
      <w:r>
        <w:rPr>
          <w:rFonts w:cs="Times New Roman" w:ascii="Times New Roman" w:hAnsi="Times New Roman"/>
          <w:sz w:val="24"/>
          <w:szCs w:val="24"/>
        </w:rPr>
        <w:t>а с месячной периодичностью.</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Начиная с 2013 года средние по внутреннему и внешнему рынку цены на нефть в Дальневосточном ФО выше средних по России цен, а с 2015 года высокие относительно других федеральных округов цены наблюдались также и в Южном ФО. Цены на внутреннем рынке нефти для всех федеральных округов колебались около среднего значения, но начиная со второй половины 2015 года цены в Дальневосточном ФО они были значительно выше средних по России.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Средние по России цены на бензин (всех видов) выросли с 30,2 руб. за литр до 43,8 руб. за литр. Самые волатильные средние по регионам цены на бензин в Курской области, Якутии, Северной Осетии. Самые высокие средние по регионам цены на бензин наблюдались в Магаданской области (52,6 руб. в среднем за 2018 год) и Чукотском АО (50,5 руб. в среднем за 2018 год), причем цены в Чукотском АО были ниже, чем Магаданской области только в 2018 году.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Средние по России цены на дизельное топливо выросли с 31,8 руб. за литр до 47,2 руб. за литр. Самые высокие средние по регионам цены на дизельное топливо (ДТ) наблюдались в Магаданской области (61,3 руб. в среднем за 2018 год) и Чукотском АО (53,7 руб. в среднем за 2018 год). Причем, как на зимнее, так и на летнее ДТ до 2017 в Чукотском АО цены были выше на каждом временном промежутке, а после 2018 года средние цены на ДТ в Якутии (53,85 руб. в среднем за 2018 год) превысили средние цены в Чукотском АО. Самые низкие цены на дизельное топливо наблюдались в Республике Дагестан на каждом из временных периодов (30,8 руб. в среднем за 2017 год).</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Самые высокие цены на мазут (по имеющимся данным) наблюдались в Приморском крае, причем их среднегодовое значение выросло с 16,2 тыс. руб. до 22,3 тыс. руб. за тонну топлива.</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highlight w:val="yellow"/>
        </w:rPr>
        <w:t>//ДЛЯ КАЖДОГО НЕФТЕПРОДУКТА НУЖНО НАРИСОВАТЬ КАРТУ ОТКЛОНЕНИЯ СРЕДНЕЙ ЦЕНЫ В РЕГИОНЕ ОТ СРЕДНЕРОССИЙСКОЙ ЗА 2013 Г И ЗА 2018 Г. ЕСЛИ ЦЕНА ВЫШЕ СРЕДНЕРОССИЙСКОЙ, БОЛЬШЕ КРАСНОГО, ЕСЛИ МЕНЬШЕ, БОЛЬШЕ СИНЕГО.</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lang w:val="en-US"/>
        </w:rPr>
        <w:t>4.1.</w:t>
      </w:r>
      <w:r>
        <w:rPr>
          <w:rFonts w:cs="Times New Roman" w:ascii="Times New Roman" w:hAnsi="Times New Roman"/>
          <w:sz w:val="24"/>
          <w:szCs w:val="24"/>
        </w:rPr>
        <w:t>4. Крэк-спред.</w:t>
      </w:r>
    </w:p>
    <w:p>
      <w:pPr>
        <w:pStyle w:val="Normal"/>
        <w:spacing w:lineRule="auto" w:line="360" w:before="120" w:after="120"/>
        <w:contextualSpacing/>
        <w:jc w:val="both"/>
        <w:rPr/>
      </w:pPr>
      <w:r>
        <w:rPr>
          <w:rFonts w:cs="Times New Roman" w:ascii="Times New Roman" w:hAnsi="Times New Roman"/>
          <w:sz w:val="24"/>
          <w:szCs w:val="24"/>
        </w:rPr>
        <w:t xml:space="preserve">Крэк-спред – разница между ценой покупки сырой нефти и ценой продажи готовых нефтепродуктов, который нефтеперерабатывающий завод производит из сырой нефти. Обычно из 3 тонн сырой нефти получается примерно 2 тонны бензина и 1 тонна печного топлива (мазута), соответственно формула </w:t>
      </w:r>
      <w:r>
        <w:rPr>
          <w:rFonts w:cs="Times New Roman" w:ascii="Times New Roman" w:hAnsi="Times New Roman"/>
          <w:sz w:val="24"/>
          <w:szCs w:val="24"/>
        </w:rPr>
        <w:fldChar w:fldCharType="begin"/>
      </w:r>
      <w:r>
        <w:rPr>
          <w:sz w:val="24"/>
          <w:szCs w:val="24"/>
          <w:rFonts w:cs="Times New Roman" w:ascii="Times New Roman" w:hAnsi="Times New Roman"/>
        </w:rPr>
        <w:instrText> REF _Ref18649489 \h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r>
        <w:rPr>
          <w:rFonts w:cs="Times New Roman" w:ascii="Times New Roman" w:hAnsi="Times New Roman"/>
          <w:sz w:val="24"/>
          <w:szCs w:val="24"/>
        </w:rPr>
        <w:t xml:space="preserve"> отражает процесс переработки, в результате которого на выходе имеется 65-67% бензина и 33% печного топлива (мазута):</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cr</m:t>
                  </m:r>
                </m:sub>
              </m:sSub>
              <m:r>
                <w:rPr>
                  <w:rFonts w:ascii="Cambria Math" w:hAnsi="Cambria Math"/>
                </w:rPr>
                <m:t xml:space="preserve">=</m:t>
              </m:r>
              <m:f>
                <m:num>
                  <m:sSub>
                    <m:e>
                      <m:r>
                        <w:rPr>
                          <w:rFonts w:ascii="Cambria Math" w:hAnsi="Cambria Math"/>
                        </w:rPr>
                        <m:t xml:space="preserve">2</m:t>
                      </m:r>
                      <m:r>
                        <w:rPr>
                          <w:rFonts w:ascii="Cambria Math" w:hAnsi="Cambria Math"/>
                        </w:rPr>
                        <m:t xml:space="preserve">∗</m:t>
                      </m:r>
                      <m:r>
                        <w:rPr>
                          <w:rFonts w:ascii="Cambria Math" w:hAnsi="Cambria Math"/>
                        </w:rPr>
                        <m:t xml:space="preserve">p</m:t>
                      </m:r>
                    </m:e>
                    <m:sub>
                      <m:r>
                        <w:rPr>
                          <w:rFonts w:ascii="Cambria Math" w:hAnsi="Cambria Math"/>
                        </w:rPr>
                        <m:t xml:space="preserve">gas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maz</m:t>
                      </m:r>
                    </m:sub>
                  </m:sSub>
                  <m:r>
                    <w:rPr>
                      <w:rFonts w:ascii="Cambria Math" w:hAnsi="Cambria Math"/>
                    </w:rPr>
                    <m:t xml:space="preserve">−</m:t>
                  </m:r>
                  <m:sSub>
                    <m:e>
                      <m:r>
                        <w:rPr>
                          <w:rFonts w:ascii="Cambria Math" w:hAnsi="Cambria Math"/>
                        </w:rPr>
                        <m:t xml:space="preserve">3</m:t>
                      </m:r>
                      <m:r>
                        <w:rPr>
                          <w:rFonts w:ascii="Cambria Math" w:hAnsi="Cambria Math"/>
                        </w:rPr>
                        <m:t xml:space="preserve">∗</m:t>
                      </m:r>
                      <m:r>
                        <w:rPr>
                          <w:rFonts w:ascii="Cambria Math" w:hAnsi="Cambria Math"/>
                        </w:rPr>
                        <m:t xml:space="preserve">p</m:t>
                      </m:r>
                    </m:e>
                    <m:sub>
                      <m:r>
                        <w:rPr>
                          <w:rFonts w:ascii="Cambria Math" w:hAnsi="Cambria Math"/>
                        </w:rPr>
                        <m:t xml:space="preserve">oil</m:t>
                      </m:r>
                    </m:sub>
                  </m:sSub>
                </m:num>
                <m:den>
                  <m:r>
                    <w:rPr>
                      <w:rFonts w:ascii="Cambria Math" w:hAnsi="Cambria Math"/>
                    </w:rPr>
                    <m:t xml:space="preserve">3</m:t>
                  </m:r>
                </m:den>
              </m:f>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bookmarkStart w:id="2" w:name="_Ref18649489"/>
            <w:r>
              <w:rPr/>
              <w:t>(</w:t>
            </w:r>
            <w:r>
              <w:rPr/>
              <w:fldChar w:fldCharType="begin"/>
            </w:r>
            <w:r>
              <w:rPr/>
              <w:instrText> SEQ Формула \* ARABIC </w:instrText>
            </w:r>
            <w:r>
              <w:rPr/>
              <w:fldChar w:fldCharType="separate"/>
            </w:r>
            <w:r>
              <w:rPr/>
              <w:t>3</w:t>
            </w:r>
            <w:r>
              <w:rPr/>
              <w:fldChar w:fldCharType="end"/>
            </w:r>
            <w:r>
              <w:rPr/>
              <w:t>)</w:t>
            </w:r>
            <w:bookmarkEnd w:id="2"/>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gas</m:t>
            </m:r>
          </m:sub>
        </m:sSub>
      </m:oMath>
      <w:r>
        <w:rPr>
          <w:rFonts w:cs="Times New Roman" w:ascii="Times New Roman" w:hAnsi="Times New Roman"/>
          <w:sz w:val="24"/>
          <w:szCs w:val="24"/>
        </w:rPr>
        <w:t xml:space="preserve"> – цена 1 т бензина, </w:t>
      </w:r>
      <w:r>
        <w:rPr/>
      </w:r>
      <m:oMath xmlns:m="http://schemas.openxmlformats.org/officeDocument/2006/math">
        <m:sSub>
          <m:e>
            <m:r>
              <w:rPr>
                <w:rFonts w:ascii="Cambria Math" w:hAnsi="Cambria Math"/>
              </w:rPr>
              <m:t xml:space="preserve">p</m:t>
            </m:r>
          </m:e>
          <m:sub>
            <m:r>
              <w:rPr>
                <w:rFonts w:ascii="Cambria Math" w:hAnsi="Cambria Math"/>
              </w:rPr>
              <m:t xml:space="preserve">maz</m:t>
            </m:r>
          </m:sub>
        </m:sSub>
      </m:oMath>
      <w:r>
        <w:rPr>
          <w:rFonts w:cs="Times New Roman" w:ascii="Times New Roman" w:hAnsi="Times New Roman"/>
          <w:sz w:val="24"/>
          <w:szCs w:val="24"/>
        </w:rPr>
        <w:t xml:space="preserve"> – цена 1 т печного топлива (или мазута), </w:t>
      </w:r>
      <w:r>
        <w:rPr/>
      </w:r>
      <m:oMath xmlns:m="http://schemas.openxmlformats.org/officeDocument/2006/math">
        <m:sSub>
          <m:e>
            <m:r>
              <w:rPr>
                <w:rFonts w:ascii="Cambria Math" w:hAnsi="Cambria Math"/>
              </w:rPr>
              <m:t xml:space="preserve">p</m:t>
            </m:r>
          </m:e>
          <m:sub>
            <m:r>
              <w:rPr>
                <w:rFonts w:ascii="Cambria Math" w:hAnsi="Cambria Math"/>
              </w:rPr>
              <m:t xml:space="preserve">oil</m:t>
            </m:r>
          </m:sub>
        </m:sSub>
      </m:oMath>
      <w:r>
        <w:rPr>
          <w:rFonts w:cs="Times New Roman" w:ascii="Times New Roman" w:hAnsi="Times New Roman"/>
        </w:rPr>
        <w:t xml:space="preserve"> </w:t>
      </w:r>
      <w:r>
        <w:rPr>
          <w:rFonts w:cs="Times New Roman" w:ascii="Times New Roman" w:hAnsi="Times New Roman"/>
          <w:sz w:val="24"/>
          <w:szCs w:val="24"/>
        </w:rPr>
        <w:t>– цена 1 т сырой нефти.</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Цель использования показателя – моделирование экономики переработки нефти. В классическом понимании крэк-спред подразумевает комбинацию фьючерсов, подразумевающую одновременную покупку (или продажу) трех фьючерсных контрактов на нефть, а также продажу (или покупку) двух контрактов на бензин и одного контракта на печное топливо (мазут). Крэк-спред используется в качестве показателя краткосрочной рентабельности для оценки прибыли, которую нефтеперерабатывающий завод получает при крекировании нефти:</w:t>
      </w:r>
    </w:p>
    <w:p>
      <w:pPr>
        <w:pStyle w:val="Normal"/>
        <w:numPr>
          <w:ilvl w:val="0"/>
          <w:numId w:val="3"/>
        </w:numPr>
        <w:tabs>
          <w:tab w:val="clear" w:pos="408"/>
        </w:tabs>
        <w:spacing w:lineRule="auto" w:line="360" w:before="120" w:after="120"/>
        <w:ind w:left="0" w:firstLine="567"/>
        <w:contextualSpacing/>
        <w:jc w:val="both"/>
        <w:rPr>
          <w:rFonts w:ascii="Times New Roman" w:hAnsi="Times New Roman" w:cs="Times New Roman"/>
          <w:sz w:val="24"/>
          <w:szCs w:val="24"/>
        </w:rPr>
      </w:pPr>
      <w:r>
        <w:rPr>
          <w:rFonts w:cs="Times New Roman" w:ascii="Times New Roman" w:hAnsi="Times New Roman"/>
          <w:sz w:val="24"/>
          <w:szCs w:val="24"/>
        </w:rPr>
        <w:t>если цены на нефтепродукты растут быстрее, чем цена нефти, то спред расширяется и НПЗ получает прибыль; если цены на нефтепродукты падают быстрее чем цена на нефть, то спред сужается и НПЗ получает убыток;</w:t>
      </w:r>
    </w:p>
    <w:p>
      <w:pPr>
        <w:pStyle w:val="Normal"/>
        <w:numPr>
          <w:ilvl w:val="0"/>
          <w:numId w:val="3"/>
        </w:numPr>
        <w:tabs>
          <w:tab w:val="clear" w:pos="408"/>
        </w:tabs>
        <w:spacing w:lineRule="auto" w:line="360" w:before="120" w:after="120"/>
        <w:ind w:left="0" w:firstLine="567"/>
        <w:contextualSpacing/>
        <w:jc w:val="both"/>
        <w:rPr/>
      </w:pPr>
      <w:r>
        <w:rPr>
          <w:rFonts w:cs="Times New Roman" w:ascii="Times New Roman" w:hAnsi="Times New Roman"/>
          <w:sz w:val="24"/>
          <w:szCs w:val="24"/>
        </w:rPr>
        <w:t xml:space="preserve">если цены на нефтепродукты падают, а цена нефти растет, то спред сужается и НПЗ получает убыток; если цены на нефтепродукты растут, а цена нефти падает, то НПЗ получает прибыль, поскольку спред расширяется. </w:t>
      </w:r>
    </w:p>
    <w:p>
      <w:pPr>
        <w:pStyle w:val="Normal"/>
        <w:spacing w:lineRule="auto" w:line="360" w:before="120" w:after="120"/>
        <w:contextualSpacing/>
        <w:jc w:val="both"/>
        <w:rPr/>
      </w:pPr>
      <w:r>
        <w:rPr>
          <w:rFonts w:cs="Times New Roman" w:ascii="Times New Roman" w:hAnsi="Times New Roman"/>
          <w:sz w:val="24"/>
          <w:szCs w:val="24"/>
        </w:rPr>
        <w:t xml:space="preserve">Значения крэк-спреда, как и доходы НПЗ, отличаются волатильностью, поскольку зависят от цен на нефть и продукты нефтепереработки, </w:t>
      </w:r>
      <w:r>
        <w:rPr>
          <w:rFonts w:cs="Times New Roman" w:ascii="Times New Roman" w:hAnsi="Times New Roman"/>
          <w:sz w:val="24"/>
          <w:szCs w:val="24"/>
          <w:lang w:val="ru"/>
        </w:rPr>
        <w:t>каждые из которых подвержены изменениям на различных, но взаимосвязанных рынках.</w:t>
      </w:r>
      <w:r>
        <w:rPr>
          <w:rFonts w:cs="Times New Roman" w:ascii="Times New Roman" w:hAnsi="Times New Roman"/>
          <w:sz w:val="24"/>
          <w:szCs w:val="24"/>
        </w:rPr>
        <w:t xml:space="preserve"> </w:t>
      </w:r>
      <w:r>
        <w:rPr>
          <w:rFonts w:cs="Times New Roman" w:ascii="Times New Roman" w:hAnsi="Times New Roman"/>
          <w:sz w:val="24"/>
          <w:szCs w:val="24"/>
          <w:lang w:val="ru"/>
        </w:rPr>
        <w:t xml:space="preserve">Кроме того, цены на бензин значительно варьируются от региона к региону, а дефицит поставок продукции в результате сбоев на НПЗ и аварий на трубопроводах может привести к кратковременным выбросам. </w:t>
      </w:r>
      <w:r>
        <w:rPr>
          <w:rFonts w:cs="Times New Roman" w:ascii="Times New Roman" w:hAnsi="Times New Roman"/>
          <w:sz w:val="24"/>
          <w:szCs w:val="24"/>
        </w:rPr>
        <w:t>Когда различия между ценами в регионах становятся достаточно большими, чем транспортные издержки, нефтеперерабатывающие заводы могут покупать более дешевую нефть в других регионах, обходя географические ограничения.</w:t>
      </w:r>
    </w:p>
    <w:p>
      <w:pPr>
        <w:pStyle w:val="Normal"/>
        <w:spacing w:lineRule="auto" w:line="360" w:before="120" w:after="120"/>
        <w:contextualSpacing/>
        <w:jc w:val="both"/>
        <w:rPr/>
      </w:pPr>
      <w:r>
        <w:rPr>
          <w:rFonts w:cs="Times New Roman" w:ascii="Times New Roman" w:hAnsi="Times New Roman"/>
          <w:sz w:val="24"/>
          <w:szCs w:val="24"/>
        </w:rPr>
        <w:t>Используемые данные – данные по средним ценам на бензин взяты из набора данных «Интерактивная карта цен на нефтепродукты в России»</w:t>
      </w:r>
      <w:sdt>
        <w:sdtPr>
          <w:citation/>
        </w:sdtPr>
        <w:sdtContent>
          <w:r>
            <w:rPr/>
            <w:fldChar w:fldCharType="begin"/>
          </w:r>
          <w:r>
            <w:rPr/>
            <w:instrText>CITATION ФНС19 \l 1049 </w:instrText>
          </w:r>
          <w:r>
            <w:rPr/>
            <w:fldChar w:fldCharType="separate"/>
          </w:r>
          <w:r>
            <w:rPr/>
            <w:t xml:space="preserve"> [11]</w:t>
          </w:r>
          <w:r>
            <w:rPr/>
            <w:fldChar w:fldCharType="end"/>
          </w:r>
        </w:sdtContent>
      </w:sdt>
      <w:r>
        <w:rPr>
          <w:rFonts w:cs="Times New Roman" w:ascii="Times New Roman" w:hAnsi="Times New Roman"/>
          <w:sz w:val="24"/>
          <w:szCs w:val="24"/>
        </w:rPr>
        <w:t>. Показатель усредняется по месяцам, по доступным видам бензина крупнейших продавцов топлива в соответствующем субъекте РФ. Цены указаны за 1 литр топлива, поэтому для расчёта необходимо их перевести в тонны с помощью коэффициента перевода</w:t>
      </w:r>
      <w:r>
        <w:rPr>
          <w:rFonts w:cs="Times New Roman" w:ascii="Times New Roman" w:hAnsi="Times New Roman"/>
          <w:sz w:val="24"/>
          <w:szCs w:val="24"/>
        </w:rPr>
        <w:t xml:space="preserve"> </w:t>
      </w:r>
      <w:r>
        <w:rPr/>
      </w:r>
      <m:oMath xmlns:m="http://schemas.openxmlformats.org/officeDocument/2006/math">
        <m:bar>
          <m:barPr>
            <m:pos m:val="top"/>
          </m:barPr>
          <m:e>
            <m:r>
              <w:rPr>
                <w:rFonts w:ascii="Cambria Math" w:hAnsi="Cambria Math"/>
              </w:rPr>
              <m:t xml:space="preserve">ρ</m:t>
            </m:r>
          </m:e>
        </m:bar>
      </m:oMath>
      <w:r>
        <w:rPr>
          <w:rFonts w:cs="Times New Roman" w:ascii="Times New Roman" w:hAnsi="Times New Roman"/>
          <w:sz w:val="24"/>
          <w:szCs w:val="24"/>
        </w:rPr>
        <w:t xml:space="preserve">, соответствующего средней плотности видов бензина, по которым усреднялись цены: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gas</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gas</m:t>
                      </m:r>
                      <m:r>
                        <w:rPr>
                          <w:rFonts w:ascii="Cambria Math" w:hAnsi="Cambria Math"/>
                        </w:rPr>
                        <m:t xml:space="preserve">per</m:t>
                      </m:r>
                      <m:r>
                        <w:rPr>
                          <w:rFonts w:ascii="Cambria Math" w:hAnsi="Cambria Math"/>
                        </w:rPr>
                        <m:t xml:space="preserve">l</m:t>
                      </m:r>
                    </m:sub>
                  </m:sSub>
                </m:num>
                <m:den>
                  <m:bar>
                    <m:barPr>
                      <m:pos m:val="top"/>
                    </m:barPr>
                    <m:e>
                      <m:r>
                        <w:rPr>
                          <w:rFonts w:ascii="Cambria Math" w:hAnsi="Cambria Math"/>
                        </w:rPr>
                        <m:t xml:space="preserve">ρ</m:t>
                      </m:r>
                    </m:e>
                  </m:bar>
                </m:den>
              </m:f>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r>
              <w:rPr/>
              <w:t>(</w:t>
            </w:r>
            <w:r>
              <w:rPr/>
              <w:fldChar w:fldCharType="begin"/>
            </w:r>
            <w:r>
              <w:rPr/>
              <w:instrText> SEQ Формула \* ARABIC </w:instrText>
            </w:r>
            <w:r>
              <w:rPr/>
              <w:fldChar w:fldCharType="separate"/>
            </w:r>
            <w:r>
              <w:rPr/>
              <w:t>4</w:t>
            </w:r>
            <w:r>
              <w:rPr/>
              <w:fldChar w:fldCharType="end"/>
            </w:r>
            <w:r>
              <w:rPr/>
              <w:t>)</w:t>
            </w:r>
          </w:p>
        </w:tc>
      </w:tr>
    </w:tbl>
    <w:p>
      <w:pPr>
        <w:pStyle w:val="Normal"/>
        <w:spacing w:lineRule="auto" w:line="360" w:before="120" w:after="120"/>
        <w:ind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bar>
          <m:barPr>
            <m:pos m:val="top"/>
          </m:barPr>
          <m:e>
            <m:r>
              <w:rPr>
                <w:rFonts w:ascii="Cambria Math" w:hAnsi="Cambria Math"/>
              </w:rPr>
              <m:t xml:space="preserve">ρ</m:t>
            </m:r>
          </m:e>
        </m:bar>
        <m:r>
          <w:rPr>
            <w:rFonts w:ascii="Cambria Math" w:hAnsi="Cambria Math"/>
          </w:rPr>
          <m:t xml:space="preserve">=</m:t>
        </m:r>
        <m:f>
          <m:num>
            <m:sSub>
              <m:e>
                <m:r>
                  <w:rPr>
                    <w:rFonts w:ascii="Cambria Math" w:hAnsi="Cambria Math"/>
                  </w:rPr>
                  <m:t xml:space="preserve">ρ</m:t>
                </m:r>
              </m:e>
              <m:sub>
                <m:r>
                  <w:rPr>
                    <w:rFonts w:ascii="Cambria Math" w:hAnsi="Cambria Math"/>
                  </w:rPr>
                  <m:t xml:space="preserve">76</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92</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93</m:t>
                </m:r>
                <m:r>
                  <w:rPr>
                    <w:rFonts w:ascii="Cambria Math" w:hAnsi="Cambria Math"/>
                  </w:rPr>
                  <m:t xml:space="preserve">,</m:t>
                </m:r>
                <m:r>
                  <w:rPr>
                    <w:rFonts w:ascii="Cambria Math" w:hAnsi="Cambria Math"/>
                  </w:rPr>
                  <m:t xml:space="preserve">95</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98</m:t>
                </m:r>
              </m:sub>
            </m:sSub>
          </m:num>
          <m:den>
            <m:r>
              <w:rPr>
                <w:rFonts w:ascii="Cambria Math" w:hAnsi="Cambria Math"/>
              </w:rPr>
              <m:t xml:space="preserve">4</m:t>
            </m:r>
          </m:den>
        </m:f>
      </m:oMath>
      <w:r>
        <w:rPr>
          <w:rFonts w:cs="Times New Roman" w:ascii="Times New Roman" w:hAnsi="Times New Roman"/>
        </w:rPr>
        <w:t xml:space="preserve"> =</w:t>
      </w:r>
      <w:r>
        <w:rPr>
          <w:rFonts w:cs="Times New Roman" w:ascii="Times New Roman" w:hAnsi="Times New Roman"/>
          <w:sz w:val="24"/>
          <w:szCs w:val="24"/>
        </w:rPr>
        <w:t xml:space="preserve"> </w:t>
      </w:r>
      <w:r>
        <w:rPr/>
      </w:r>
      <m:oMath xmlns:m="http://schemas.openxmlformats.org/officeDocument/2006/math">
        <m:f>
          <m:num>
            <m:r>
              <w:rPr>
                <w:rFonts w:ascii="Cambria Math" w:hAnsi="Cambria Math"/>
              </w:rPr>
              <m:t xml:space="preserve">0.715</m:t>
            </m:r>
            <m:r>
              <w:rPr>
                <w:rFonts w:ascii="Cambria Math" w:hAnsi="Cambria Math"/>
              </w:rPr>
              <m:t xml:space="preserve">+</m:t>
            </m:r>
            <m:r>
              <w:rPr>
                <w:rFonts w:ascii="Cambria Math" w:hAnsi="Cambria Math"/>
              </w:rPr>
              <m:t xml:space="preserve">0.735</m:t>
            </m:r>
            <m:r>
              <w:rPr>
                <w:rFonts w:ascii="Cambria Math" w:hAnsi="Cambria Math"/>
              </w:rPr>
              <m:t xml:space="preserve">+</m:t>
            </m:r>
            <m:r>
              <w:rPr>
                <w:rFonts w:ascii="Cambria Math" w:hAnsi="Cambria Math"/>
              </w:rPr>
              <m:t xml:space="preserve">0.75</m:t>
            </m:r>
            <m:r>
              <w:rPr>
                <w:rFonts w:ascii="Cambria Math" w:hAnsi="Cambria Math"/>
              </w:rPr>
              <m:t xml:space="preserve">+</m:t>
            </m:r>
            <m:r>
              <w:rPr>
                <w:rFonts w:ascii="Cambria Math" w:hAnsi="Cambria Math"/>
              </w:rPr>
              <m:t xml:space="preserve">0.765</m:t>
            </m:r>
          </m:num>
          <m:den>
            <m:r>
              <w:rPr>
                <w:rFonts w:ascii="Cambria Math" w:hAnsi="Cambria Math"/>
              </w:rPr>
              <m:t xml:space="preserve">4</m:t>
            </m:r>
          </m:den>
        </m:f>
        <m:r>
          <w:rPr>
            <w:rFonts w:ascii="Cambria Math" w:hAnsi="Cambria Math"/>
          </w:rPr>
          <m:t xml:space="preserve">=</m:t>
        </m:r>
        <m:r>
          <w:rPr>
            <w:rFonts w:ascii="Cambria Math" w:hAnsi="Cambria Math"/>
          </w:rPr>
          <m:t xml:space="preserve">0.74125</m:t>
        </m:r>
        <m:r>
          <w:rPr>
            <w:rFonts w:ascii="Cambria Math" w:hAnsi="Cambria Math"/>
          </w:rPr>
          <m:t xml:space="preserve">,</m:t>
        </m:r>
      </m:oMath>
      <w:r>
        <w:rPr>
          <w:rFonts w:cs="Times New Roman" w:ascii="Times New Roman" w:hAnsi="Times New Roman"/>
        </w:rPr>
        <w:t xml:space="preserve"> </w:t>
      </w:r>
      <w:r>
        <w:rPr>
          <w:rFonts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k</m:t>
            </m:r>
          </m:sub>
        </m:sSub>
      </m:oMath>
      <w:r>
        <w:rPr>
          <w:rFonts w:cs="Times New Roman" w:ascii="Times New Roman" w:hAnsi="Times New Roman"/>
          <w:sz w:val="24"/>
          <w:szCs w:val="24"/>
        </w:rPr>
        <w:t>– плотность бензина АИ-</w:t>
      </w:r>
      <w:r>
        <w:rPr>
          <w:rFonts w:cs="Times New Roman" w:ascii="Times New Roman" w:hAnsi="Times New Roman"/>
          <w:sz w:val="24"/>
          <w:szCs w:val="24"/>
          <w:lang w:val="en-US"/>
        </w:rPr>
        <w:t>k</w:t>
      </w:r>
      <w:r>
        <w:rPr>
          <w:rFonts w:cs="Times New Roman" w:ascii="Times New Roman" w:hAnsi="Times New Roman"/>
          <w:sz w:val="24"/>
          <w:szCs w:val="24"/>
        </w:rPr>
        <w:t xml:space="preserve">. </w:t>
      </w:r>
    </w:p>
    <w:p>
      <w:pPr>
        <w:pStyle w:val="Normal"/>
        <w:spacing w:lineRule="auto" w:line="360" w:before="120" w:after="120"/>
        <w:contextualSpacing/>
        <w:jc w:val="both"/>
        <w:rPr/>
      </w:pPr>
      <w:r>
        <w:rPr>
          <w:rFonts w:cs="Times New Roman" w:ascii="Times New Roman" w:hAnsi="Times New Roman"/>
          <w:sz w:val="24"/>
          <w:szCs w:val="24"/>
        </w:rPr>
        <w:t xml:space="preserve">Цены на мазут восстановлены по данным Информационно-аналитического центра "КОРТЕС" </w:t>
      </w:r>
      <w:sdt>
        <w:sdtPr>
          <w:citation/>
        </w:sdtPr>
        <w:sdtContent>
          <w:r>
            <w:rPr/>
            <w:fldChar w:fldCharType="begin"/>
          </w:r>
          <w:r>
            <w:rPr/>
            <w:instrText> CITATION РЕГ13 \l 1049 </w:instrText>
          </w:r>
          <w:r>
            <w:rPr/>
            <w:fldChar w:fldCharType="separate"/>
          </w:r>
          <w:r>
            <w:rPr/>
            <w:t>[13]</w:t>
          </w:r>
          <w:r>
            <w:rPr/>
            <w:fldChar w:fldCharType="end"/>
          </w:r>
        </w:sdtContent>
      </w:sdt>
      <w:r>
        <w:rPr>
          <w:rFonts w:cs="Times New Roman" w:ascii="Times New Roman" w:hAnsi="Times New Roman"/>
          <w:sz w:val="24"/>
          <w:szCs w:val="24"/>
        </w:rPr>
        <w:t xml:space="preserve"> и индексам цен из Центральной базы статистических данных Росстата (подробнее в п. 3)</w:t>
      </w:r>
      <w:r>
        <w:rPr>
          <w:rFonts w:cs="Times New Roman" w:ascii="Times New Roman" w:hAnsi="Times New Roman"/>
          <w:sz w:val="24"/>
          <w:szCs w:val="24"/>
        </w:rPr>
        <w:t xml:space="preserve"> </w:t>
      </w:r>
      <w:sdt>
        <w:sdtPr>
          <w:citation/>
        </w:sdtPr>
        <w:sdtContent>
          <w:r>
            <w:rPr/>
            <w:fldChar w:fldCharType="begin"/>
          </w:r>
          <w:r>
            <w:rPr/>
            <w:instrText> CITATION ЦБС19 \l 1049 </w:instrText>
          </w:r>
          <w:r>
            <w:rPr/>
            <w:fldChar w:fldCharType="separate"/>
          </w:r>
          <w:r>
            <w:rPr/>
            <w:t>[12]</w:t>
          </w:r>
          <w:r>
            <w:rPr/>
            <w:fldChar w:fldCharType="end"/>
          </w:r>
        </w:sdtContent>
      </w:sdt>
      <w:r>
        <w:rPr>
          <w:rFonts w:cs="Times New Roman" w:ascii="Times New Roman" w:hAnsi="Times New Roman"/>
          <w:sz w:val="24"/>
          <w:szCs w:val="24"/>
        </w:rPr>
        <w:t xml:space="preserve">. Индексы цен доступны по 29 субъектам РФ. </w:t>
      </w:r>
    </w:p>
    <w:p>
      <w:pPr>
        <w:pStyle w:val="Normal"/>
        <w:spacing w:lineRule="auto" w:line="360" w:before="120" w:after="120"/>
        <w:contextualSpacing/>
        <w:jc w:val="both"/>
        <w:rPr/>
      </w:pPr>
      <w:r>
        <w:rPr>
          <w:rFonts w:cs="Times New Roman" w:ascii="Times New Roman" w:hAnsi="Times New Roman"/>
          <w:sz w:val="24"/>
          <w:szCs w:val="24"/>
        </w:rPr>
        <w:t xml:space="preserve">Данные по средним ценам производителей по федеральным округам на сырую нефть взяты из набора данных «Средние цены производителей промышленных товаров» </w:t>
      </w:r>
      <w:sdt>
        <w:sdtPr>
          <w:citation/>
        </w:sdtPr>
        <w:sdtContent>
          <w:r>
            <w:rPr/>
            <w:fldChar w:fldCharType="begin"/>
          </w:r>
          <w:r>
            <w:rPr/>
            <w:instrText> CITATION ЦБС19 \l 1049 </w:instrText>
          </w:r>
          <w:r>
            <w:rPr/>
            <w:fldChar w:fldCharType="separate"/>
          </w:r>
          <w:r>
            <w:rPr/>
            <w:t>[12]</w:t>
          </w:r>
          <w:r>
            <w:rPr/>
            <w:fldChar w:fldCharType="end"/>
          </w:r>
        </w:sdtContent>
      </w:sdt>
      <w:r>
        <w:rPr>
          <w:rFonts w:cs="Times New Roman" w:ascii="Times New Roman" w:hAnsi="Times New Roman"/>
          <w:sz w:val="24"/>
          <w:szCs w:val="24"/>
        </w:rPr>
        <w:t>. Для Центрального федерального округа показатель не указан, вместо него используются средние цены по РФ.</w:t>
      </w:r>
    </w:p>
    <w:p>
      <w:pPr>
        <w:pStyle w:val="Normal"/>
        <w:spacing w:lineRule="auto" w:line="360" w:before="120" w:after="120"/>
        <w:contextualSpacing/>
        <w:jc w:val="both"/>
        <w:rPr/>
      </w:pPr>
      <w:r>
        <w:rPr>
          <w:rFonts w:cs="Times New Roman" w:ascii="Times New Roman" w:hAnsi="Times New Roman"/>
          <w:sz w:val="24"/>
          <w:szCs w:val="24"/>
        </w:rPr>
        <w:t>При расчете среднего значения крэк-спреда по данным, доступным по 29 регионам, для Ростовской области значение этого показателя ниже среднего в каждый момент времени с января 2013 по июль 2019, за счет относительно низких цен на мазут, а для Иркутской области – выше среднего в каждый момент времени с января 2013 по февраль 2019. Показатель крэк-спреда наиболее волатилен в Приморском крае и Сахалинской области</w:t>
      </w:r>
      <w:r>
        <w:rPr>
          <w:rFonts w:cs="Times New Roman" w:ascii="Times New Roman" w:hAnsi="Times New Roman"/>
          <w:sz w:val="24"/>
          <w:szCs w:val="24"/>
          <w:highlight w:val="yellow"/>
        </w:rPr>
        <w:t>.//ПРЕДСТАВИТЬ ПОКАЗАТЕЛЬ НА РЕГИОНАЛЬНОЙ КАРТЕ</w:t>
      </w:r>
      <w:bookmarkStart w:id="3" w:name="_GoBack"/>
      <w:bookmarkEnd w:id="3"/>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4.1.5. Объемы собираемых налоговых платежей (НДПИ, акциз) в региональном разрезе</w:t>
      </w:r>
    </w:p>
    <w:p>
      <w:pPr>
        <w:pStyle w:val="Normal"/>
        <w:spacing w:lineRule="auto" w:line="360" w:before="120" w:after="120"/>
        <w:contextualSpacing/>
        <w:jc w:val="both"/>
        <w:rPr/>
      </w:pPr>
      <w:r>
        <w:rPr>
          <w:rFonts w:cs="Times New Roman" w:ascii="Times New Roman" w:hAnsi="Times New Roman"/>
          <w:sz w:val="24"/>
          <w:szCs w:val="24"/>
        </w:rPr>
        <w:t>Налоговой базой налога на добычу полезных ископаемых является стоимость добытых полезных ископаемых. За 2008 – 2014 гг. за счет НДПИ формировалось от 39,2 до 47,2 % всех поступлений в федеральный бюджет РФ, причем</w:t>
      </w:r>
      <w:r>
        <w:rPr>
          <w:rFonts w:eastAsia="Times New Roman" w:cs="Times New Roman" w:ascii="Times New Roman" w:hAnsi="Times New Roman"/>
          <w:sz w:val="24"/>
          <w:szCs w:val="24"/>
        </w:rPr>
        <w:t xml:space="preserve"> доходы от поступления налога на добычу нефти составляли от 86,8 до 93,8 % всех поступлений НДПИ </w:t>
      </w:r>
      <w:sdt>
        <w:sdtPr>
          <w:citation/>
        </w:sdtPr>
        <w:sdtContent>
          <w:r>
            <w:rPr/>
            <w:fldChar w:fldCharType="begin"/>
          </w:r>
          <w:r>
            <w:rPr/>
            <w:instrText> CITATION ГСК16 \l 1049 </w:instrText>
          </w:r>
          <w:r>
            <w:rPr/>
            <w:fldChar w:fldCharType="separate"/>
          </w:r>
          <w:r>
            <w:rPr/>
            <w:t>[7]</w:t>
          </w:r>
          <w:r>
            <w:rPr/>
            <w:fldChar w:fldCharType="end"/>
          </w:r>
        </w:sdtContent>
      </w:sdt>
      <w:r>
        <w:rPr>
          <w:rFonts w:eastAsia="Times New Roman"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За 2008 – 2014 гг. за счет НДПИ формировалось от 39,2 до 47,2 % всех поступлений в федеральный бюджет РФ, причем</w:t>
      </w:r>
      <w:r>
        <w:rPr>
          <w:rFonts w:eastAsia="Times New Roman" w:cs="Times New Roman" w:ascii="Times New Roman" w:hAnsi="Times New Roman"/>
          <w:sz w:val="24"/>
          <w:szCs w:val="24"/>
        </w:rPr>
        <w:t xml:space="preserve"> доходы от поступления налога на добычу горючего природного газа составляли от 5,6 до 12,5 % всех поступлений НДПИ, а от налога на добычу газового конденсата – менее 1 % </w:t>
      </w:r>
      <w:sdt>
        <w:sdtPr>
          <w:citation/>
        </w:sdtPr>
        <w:sdtContent>
          <w:r>
            <w:rPr/>
            <w:fldChar w:fldCharType="begin"/>
          </w:r>
          <w:r>
            <w:rPr/>
            <w:instrText> CITATION ГСК16 \l 1049 </w:instrText>
          </w:r>
          <w:r>
            <w:rPr/>
            <w:fldChar w:fldCharType="separate"/>
          </w:r>
          <w:r>
            <w:rPr/>
            <w:t>[7]</w:t>
          </w:r>
          <w:r>
            <w:rPr/>
            <w:fldChar w:fldCharType="end"/>
          </w:r>
        </w:sdtContent>
      </w:sdt>
      <w:r>
        <w:rPr>
          <w:rFonts w:eastAsia="Times New Roman" w:cs="Times New Roman" w:ascii="Times New Roman" w:hAnsi="Times New Roman"/>
          <w:sz w:val="24"/>
          <w:szCs w:val="24"/>
        </w:rPr>
        <w:t>.</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Для расчета НДПИ на нефть используются твердые ставки. Для ставок для нефти предусмотрены понижающие коэффициенты, которые применяются при выполнении налогоплательщиками условий, оговоренных в НК РФ. Налоговые вычеты по НДПИ предусмотрены для нефти, добытой после 1 января 2012 года на участках недр, расположенных полностью или частично в границах Республики Татарстан или Республики Башкортостан.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Дифференцированные ставки акциза на нефть и газовый конденсат для нефтегазодобывающих предприятий утверждаются Постановлением Правительства РФ. Также в рамках борьбы с ростом цен на бензин крупнейшие российские НПЗ могут получить отрицательный акциз на нефть. </w:t>
      </w:r>
    </w:p>
    <w:p>
      <w:pPr>
        <w:pStyle w:val="Normal"/>
        <w:spacing w:lineRule="auto" w:line="360" w:before="120" w:after="120"/>
        <w:contextualSpacing/>
        <w:jc w:val="both"/>
        <w:rPr/>
      </w:pPr>
      <w:r>
        <w:rPr>
          <w:rFonts w:cs="Times New Roman" w:ascii="Times New Roman" w:hAnsi="Times New Roman"/>
          <w:sz w:val="24"/>
          <w:szCs w:val="24"/>
        </w:rPr>
        <w:t xml:space="preserve">Последние несколько лет в России проводится реформа налогообложения в нефтяной сфере </w:t>
      </w:r>
      <w:sdt>
        <w:sdtPr>
          <w:citation/>
        </w:sdtPr>
        <w:sdtContent>
          <w:r>
            <w:rPr/>
            <w:fldChar w:fldCharType="begin"/>
          </w:r>
          <w:r>
            <w:rPr/>
            <w:instrText> CITATION Осн19 \l 1049 </w:instrText>
          </w:r>
          <w:r>
            <w:rPr/>
            <w:fldChar w:fldCharType="separate"/>
          </w:r>
          <w:r>
            <w:rPr/>
            <w:t>[8]</w:t>
          </w:r>
          <w:r>
            <w:rPr/>
            <w:fldChar w:fldCharType="end"/>
          </w:r>
        </w:sdtContent>
      </w:sdt>
      <w:r>
        <w:rPr>
          <w:rFonts w:cs="Times New Roman" w:ascii="Times New Roman" w:hAnsi="Times New Roman"/>
          <w:sz w:val="24"/>
          <w:szCs w:val="24"/>
        </w:rPr>
        <w:t>.  Налоговый маневр в нефтяной отрасли — это программа постепенного отказа от экспортной пошлины на нефть и нефтепродукты, а также повышения ставок налога на добычу полезных ископаемых. Однако в 2019 году налоговый маневр влияет на рост инфляции</w:t>
      </w:r>
      <w:r>
        <w:rPr>
          <w:rFonts w:cs="Times New Roman" w:ascii="Times New Roman" w:hAnsi="Times New Roman"/>
          <w:sz w:val="24"/>
          <w:szCs w:val="24"/>
        </w:rPr>
        <w:t xml:space="preserve">, причем основным каналом влияния является снижение экспортной пошлины на нефть </w:t>
      </w:r>
      <w:sdt>
        <w:sdtPr>
          <w:citation/>
        </w:sdtPr>
        <w:sdtContent>
          <w:r>
            <w:rPr/>
            <w:fldChar w:fldCharType="begin"/>
          </w:r>
          <w:r>
            <w:rPr/>
            <w:instrText> CITATION ЦБР18 \l 1049 </w:instrText>
          </w:r>
          <w:r>
            <w:rPr/>
            <w:fldChar w:fldCharType="separate"/>
          </w:r>
          <w:r>
            <w:rPr/>
            <w:t>[9]</w:t>
          </w:r>
          <w:r>
            <w:rPr/>
            <w:fldChar w:fldCharType="end"/>
          </w:r>
        </w:sdtContent>
      </w:sdt>
      <w:r>
        <w:rPr>
          <w:rFonts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показатели «Налог на добычу полезных ископаемых (на нефть), млн руб.», «Акцизы на нефтепродукты, млн руб.» за 2014 – 2017 г доступны из Налоговых паспортов субъектов РФ </w:t>
      </w:r>
      <w:sdt>
        <w:sdtPr>
          <w:citation/>
        </w:sdtPr>
        <w:sdtContent>
          <w:r>
            <w:rPr/>
            <w:fldChar w:fldCharType="begin"/>
          </w:r>
          <w:r>
            <w:rPr/>
            <w:instrText> CITATION Фед19 \l 1049 </w:instrText>
          </w:r>
          <w:r>
            <w:rPr/>
            <w:fldChar w:fldCharType="separate"/>
          </w:r>
          <w:r>
            <w:rPr/>
            <w:t>[8]</w:t>
          </w:r>
          <w:r>
            <w:rPr/>
            <w:fldChar w:fldCharType="end"/>
          </w:r>
        </w:sdtContent>
      </w:sdt>
      <w:r>
        <w:rPr>
          <w:rFonts w:cs="Times New Roman" w:ascii="Times New Roman" w:hAnsi="Times New Roman"/>
          <w:sz w:val="24"/>
          <w:szCs w:val="24"/>
        </w:rPr>
        <w:t xml:space="preserve"> для каждого из нефтедобывающих субъектов РФ. </w:t>
      </w:r>
      <w:r>
        <w:rPr>
          <w:rFonts w:cs="Times New Roman" w:ascii="Times New Roman" w:hAnsi="Times New Roman"/>
          <w:sz w:val="24"/>
          <w:szCs w:val="24"/>
        </w:rPr>
        <w:t xml:space="preserve">Значение за 2013 год восстановлено по значению показателя «В % к предыдущему периоду, в 2014 г». Поступления от НДПИ и акцизов рассчитываются как в целом, так отдельно для федерального бюджета и консолидированного бюджета субъекта РФ. </w:t>
      </w:r>
    </w:p>
    <w:p>
      <w:pPr>
        <w:pStyle w:val="Normal"/>
        <w:spacing w:lineRule="auto" w:line="360" w:before="120" w:after="120"/>
        <w:contextualSpacing/>
        <w:jc w:val="both"/>
        <w:rPr/>
      </w:pPr>
      <w:r>
        <w:rPr>
          <w:rFonts w:cs="Times New Roman" w:ascii="Times New Roman" w:hAnsi="Times New Roman"/>
          <w:sz w:val="24"/>
          <w:szCs w:val="24"/>
        </w:rPr>
        <w:t xml:space="preserve">Налог на добычу нефти в Ханты-Мансийском АО превышает средние значения по нефтедобывающим регионам России в среднем за 2013-2019 годы в 18,95 раз. Регионы, в которых доля </w:t>
      </w:r>
      <w:r>
        <w:rPr>
          <w:rFonts w:eastAsia="Times New Roman" w:cs="Times New Roman" w:ascii="Times New Roman" w:hAnsi="Times New Roman"/>
          <w:sz w:val="24"/>
          <w:szCs w:val="24"/>
        </w:rPr>
        <w:t xml:space="preserve">доходов от поступления налога на добычу нефти ежегодно составляла более 99,8 % всех поступлений НДПИ: Республика Татарстан, Самарская область, Тюменская область, Удмуртская Республика, Ханты-Мансийский АО. В среднем по регионам доля доходов от акциза на нефтепродукты, оставшаяся в бюджете субъекта, была свыше 62 %.  </w:t>
      </w:r>
      <w:r>
        <w:rPr>
          <w:rFonts w:cs="Times New Roman" w:ascii="Times New Roman" w:hAnsi="Times New Roman"/>
          <w:sz w:val="24"/>
          <w:szCs w:val="24"/>
        </w:rPr>
        <w:t>Налог на добычу нефти для всех нефтедобывающих регионов полностью идет в федеральный бюджет.</w:t>
      </w:r>
    </w:p>
    <w:p>
      <w:pPr>
        <w:pStyle w:val="Normal"/>
        <w:spacing w:lineRule="auto" w:line="360" w:before="120" w:after="120"/>
        <w:contextualSpacing/>
        <w:jc w:val="both"/>
        <w:rPr/>
      </w:pPr>
      <w:r>
        <w:rPr>
          <w:rFonts w:cs="Times New Roman" w:ascii="Times New Roman" w:hAnsi="Times New Roman"/>
          <w:sz w:val="24"/>
          <w:szCs w:val="24"/>
        </w:rPr>
        <w:t>В части автомобильных дорог регионального и местного значения на объемы</w:t>
      </w:r>
    </w:p>
    <w:p>
      <w:pPr>
        <w:pStyle w:val="Normal"/>
        <w:spacing w:lineRule="auto" w:line="360" w:before="120" w:after="120"/>
        <w:contextualSpacing/>
        <w:jc w:val="both"/>
        <w:rPr/>
      </w:pPr>
      <w:r>
        <w:rPr>
          <w:rFonts w:cs="Times New Roman" w:ascii="Times New Roman" w:hAnsi="Times New Roman"/>
          <w:sz w:val="24"/>
          <w:szCs w:val="24"/>
        </w:rPr>
        <w:t>дорожных фондов субъектов Российской Федерации и соответственно</w:t>
      </w:r>
    </w:p>
    <w:p>
      <w:pPr>
        <w:pStyle w:val="Normal"/>
        <w:spacing w:lineRule="auto" w:line="360" w:before="120" w:after="120"/>
        <w:contextualSpacing/>
        <w:jc w:val="both"/>
        <w:rPr/>
      </w:pPr>
      <w:r>
        <w:rPr>
          <w:rFonts w:cs="Times New Roman" w:ascii="Times New Roman" w:hAnsi="Times New Roman"/>
          <w:sz w:val="24"/>
          <w:szCs w:val="24"/>
        </w:rPr>
        <w:t>на индикаторы реализации Транспортной стратегии Российской Федерации</w:t>
      </w:r>
    </w:p>
    <w:p>
      <w:pPr>
        <w:pStyle w:val="Normal"/>
        <w:spacing w:lineRule="auto" w:line="360" w:before="120" w:after="120"/>
        <w:contextualSpacing/>
        <w:jc w:val="both"/>
        <w:rPr/>
      </w:pPr>
      <w:r>
        <w:rPr>
          <w:rFonts w:cs="Times New Roman" w:ascii="Times New Roman" w:hAnsi="Times New Roman"/>
          <w:sz w:val="24"/>
          <w:szCs w:val="24"/>
        </w:rPr>
        <w:t>оказывают влияние принятые Федеральным законом от 14 ноября 2017 г.</w:t>
      </w:r>
    </w:p>
    <w:p>
      <w:pPr>
        <w:pStyle w:val="Normal"/>
        <w:spacing w:lineRule="auto" w:line="360" w:before="120" w:after="120"/>
        <w:contextualSpacing/>
        <w:jc w:val="both"/>
        <w:rPr>
          <w:rFonts w:ascii="Times New Roman" w:hAnsi="Times New Roman" w:cs="Times New Roman"/>
          <w:sz w:val="24"/>
          <w:szCs w:val="24"/>
        </w:rPr>
      </w:pPr>
      <w:r>
        <w:rPr/>
      </w:r>
    </w:p>
    <w:p>
      <w:pPr>
        <w:pStyle w:val="Normal"/>
        <w:spacing w:lineRule="auto" w:line="360" w:before="120" w:after="120"/>
        <w:contextualSpacing/>
        <w:jc w:val="both"/>
        <w:rPr/>
      </w:pPr>
      <w:r>
        <w:rPr>
          <w:rFonts w:cs="Times New Roman" w:ascii="Times New Roman" w:hAnsi="Times New Roman"/>
          <w:sz w:val="24"/>
          <w:szCs w:val="24"/>
        </w:rPr>
        <w:t xml:space="preserve"> </w:t>
      </w:r>
      <w:r>
        <w:rPr>
          <w:rFonts w:cs="Times New Roman" w:ascii="Times New Roman" w:hAnsi="Times New Roman"/>
          <w:sz w:val="24"/>
          <w:szCs w:val="24"/>
          <w:highlight w:val="yellow"/>
        </w:rPr>
        <w:t xml:space="preserve">//ПРО АКЦИЗ НУЖНО ПОДРОБНЕЕ НАПИСАТЬ, ЧТО ПОЛОВИНА ИДЕТ В ФЕДЕРАЛЬНЫЙ БЮДЖЕТ, ДРУГАЯ ЧАСТЬ В РЕГИОНАЛЬНЫЙ. ТУТ ЕСТЬ ОБ ЭТОМ </w:t>
      </w:r>
      <w:hyperlink r:id="rId7">
        <w:r>
          <w:rPr>
            <w:rStyle w:val="ListLabel62"/>
            <w:rFonts w:cs="Times New Roman" w:ascii="Times New Roman" w:hAnsi="Times New Roman"/>
            <w:sz w:val="24"/>
            <w:szCs w:val="24"/>
            <w:highlight w:val="yellow"/>
            <w:u w:val="single"/>
          </w:rPr>
          <w:t>https://cyberleninka.ru/article/n/zamorozka-tsen-na-nefteprodukty-ostanovka-nalogovogo-manevra</w:t>
        </w:r>
      </w:hyperlink>
      <w:r>
        <w:rPr>
          <w:rFonts w:cs="Times New Roman" w:ascii="Times New Roman" w:hAnsi="Times New Roman"/>
          <w:sz w:val="24"/>
          <w:szCs w:val="24"/>
          <w:highlight w:val="yellow"/>
          <w:u w:val="single"/>
        </w:rPr>
        <w:t xml:space="preserve"> </w:t>
      </w:r>
      <w:r>
        <w:rPr>
          <w:rFonts w:cs="Times New Roman" w:ascii="Times New Roman" w:hAnsi="Times New Roman"/>
          <w:sz w:val="24"/>
          <w:szCs w:val="24"/>
          <w:highlight w:val="yellow"/>
        </w:rPr>
        <w:t>. НА РЕГИОНАЛЬНОЙ КАРТЕ НУЖНО ПОКАЗАТЬ СУММУ ОТ АКЦИЗА, КОТОРАЯ ОСТАЛАСЬ В РЕГИОНЕ В 2013 Г И В 2018 Г. ЕСЛИ ЕСТЬ ИНФОРМАЦИЯ ПО РАСПРЕДЕЛЕНИЮ СРЕДСТВ ДОРОЖНОГО ФОНДА ПО РЕГИОНАМ, ТО И ДЛЯ НЕЕ ЗАПОЛНИТЬ КАРТУ.</w:t>
      </w:r>
    </w:p>
    <w:p>
      <w:pPr>
        <w:pStyle w:val="Normal"/>
        <w:spacing w:lineRule="auto" w:line="360" w:before="120" w:after="120"/>
        <w:contextualSpacing/>
        <w:jc w:val="both"/>
        <w:rPr>
          <w:rFonts w:ascii="Times New Roman" w:hAnsi="Times New Roman" w:cs="Times New Roman"/>
          <w:sz w:val="24"/>
          <w:szCs w:val="24"/>
          <w:highlight w:val="yellow"/>
        </w:rPr>
      </w:pPr>
      <w:r>
        <w:rPr/>
      </w:r>
    </w:p>
    <w:p>
      <w:pPr>
        <w:pStyle w:val="Normal"/>
        <w:spacing w:lineRule="auto" w:line="360" w:before="120" w:after="120"/>
        <w:contextualSpacing/>
        <w:jc w:val="both"/>
        <w:rPr/>
      </w:pPr>
      <w:r>
        <w:rPr/>
      </w:r>
    </w:p>
    <w:p>
      <w:pPr>
        <w:pStyle w:val="Normal"/>
        <w:spacing w:lineRule="auto" w:line="360" w:before="120" w:after="120"/>
        <w:contextualSpacing/>
        <w:jc w:val="both"/>
        <w:rPr>
          <w:rFonts w:ascii="Times New Roman" w:hAnsi="Times New Roman" w:cs="Times New Roman"/>
          <w:sz w:val="24"/>
          <w:szCs w:val="24"/>
          <w:highlight w:val="yellow"/>
        </w:rPr>
      </w:pPr>
      <w:r>
        <w:rPr/>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4.1.6. Задолженность по налоговым платежам (НДПИ, акциз) в региональном разрезе.</w:t>
      </w:r>
    </w:p>
    <w:p>
      <w:pPr>
        <w:pStyle w:val="Normal"/>
        <w:spacing w:lineRule="auto" w:line="360" w:before="120" w:after="120"/>
        <w:contextualSpacing/>
        <w:jc w:val="both"/>
        <w:rPr/>
      </w:pPr>
      <w:r>
        <w:rPr>
          <w:rFonts w:cs="Times New Roman" w:ascii="Times New Roman" w:hAnsi="Times New Roman"/>
          <w:sz w:val="24"/>
          <w:szCs w:val="24"/>
        </w:rPr>
        <w:t xml:space="preserve">Задолженность по налогам и отсутствие злоупотреблений в области использования налоговых льгот являются индикаторами проявления налоговой культуры. Так как НДПИ на углеводородное сырье своевременно и практически полностью выплачивается хозяйствующими субъектами, делается вывод о проявлении налоговой культуры у плательщиков нефтегазового сектора и их стремлении следовать ее принципам при взаимодействии с соответствующим федеральным органом исполнительной власти РФ </w:t>
      </w:r>
      <w:sdt>
        <w:sdtPr>
          <w:citation/>
        </w:sdtPr>
        <w:sdtContent>
          <w:r>
            <w:rPr/>
            <w:fldChar w:fldCharType="begin"/>
          </w:r>
          <w:r>
            <w:rPr/>
            <w:instrText> CITATION ГСК16 \l 1049 </w:instrText>
          </w:r>
          <w:r>
            <w:rPr/>
            <w:fldChar w:fldCharType="separate"/>
          </w:r>
          <w:r>
            <w:rPr/>
            <w:t>[7]</w:t>
          </w:r>
          <w:r>
            <w:rPr/>
            <w:fldChar w:fldCharType="end"/>
          </w:r>
        </w:sdtContent>
      </w:sdt>
      <w:r>
        <w:rPr>
          <w:rFonts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показатели «Задолженность по налогу на добычу полезных ископаемых, млн руб.», «Задолженность по акцизам на нефтепродукты, млн руб.» и «Задолженность по налогам и сборам по добыче сырой нефти и природного газа, млн руб.» за 2014 – 2017 г доступны из Налоговых паспортов субъектов РФ </w:t>
      </w:r>
      <w:sdt>
        <w:sdtPr>
          <w:citation/>
        </w:sdtPr>
        <w:sdtContent>
          <w:r>
            <w:rPr/>
            <w:fldChar w:fldCharType="begin"/>
          </w:r>
          <w:r>
            <w:rPr/>
            <w:instrText> CITATION Фед19 \l 1049 </w:instrText>
          </w:r>
          <w:r>
            <w:rPr/>
            <w:fldChar w:fldCharType="separate"/>
          </w:r>
          <w:r>
            <w:rPr/>
            <w:t>[8]</w:t>
          </w:r>
          <w:r>
            <w:rPr/>
            <w:fldChar w:fldCharType="end"/>
          </w:r>
        </w:sdtContent>
      </w:sdt>
      <w:r>
        <w:rPr>
          <w:rFonts w:cs="Times New Roman" w:ascii="Times New Roman" w:hAnsi="Times New Roman"/>
          <w:sz w:val="24"/>
          <w:szCs w:val="24"/>
        </w:rPr>
        <w:t xml:space="preserve"> для каждого из нефтедобывающих субъектов РФ. Значение за 2013 год восстановлено по значению показателя «В % к предыдущему периоду, в 2014 г». Задолженность по НДПИ и акцизам рассчитываются как в целом, так отдельно для федерального бюджета и консолидированного бюджета субъекта РФ, для задолженности по добыче сырой нефти и природного газа указан также удельный вес в общей сумме задолженности. </w:t>
      </w:r>
    </w:p>
    <w:p>
      <w:pPr>
        <w:pStyle w:val="Normal"/>
        <w:spacing w:lineRule="auto" w:line="360" w:before="120" w:after="120"/>
        <w:contextualSpacing/>
        <w:jc w:val="both"/>
        <w:rPr/>
      </w:pPr>
      <w:r>
        <w:rPr>
          <w:rFonts w:cs="Times New Roman" w:ascii="Times New Roman" w:hAnsi="Times New Roman"/>
          <w:sz w:val="24"/>
          <w:szCs w:val="24"/>
        </w:rPr>
        <w:t>Субъекты с самыми высокими относительно остальных субъектов з</w:t>
      </w:r>
      <w:r>
        <w:rPr>
          <w:rFonts w:eastAsia="Times New Roman" w:cs="Times New Roman" w:ascii="Times New Roman" w:hAnsi="Times New Roman"/>
          <w:sz w:val="24"/>
          <w:szCs w:val="24"/>
        </w:rPr>
        <w:t xml:space="preserve">адолженностями по НДПИ – Кемеровская область и Ямало-Ненецкий АО, по акцизу на нефтепродукты </w:t>
      </w:r>
      <w:r>
        <w:rPr>
          <w:rFonts w:cs="Times New Roman" w:ascii="Times New Roman" w:hAnsi="Times New Roman"/>
          <w:sz w:val="24"/>
          <w:szCs w:val="24"/>
        </w:rPr>
        <w:t xml:space="preserve">– Иркутская область, Ярославская область, Ставропольский край, </w:t>
      </w:r>
      <w:r>
        <w:rPr>
          <w:rFonts w:eastAsia="Times New Roman" w:cs="Times New Roman" w:ascii="Times New Roman" w:hAnsi="Times New Roman"/>
          <w:sz w:val="24"/>
          <w:szCs w:val="24"/>
        </w:rPr>
        <w:t>по налогам и сборам в добыче сырой нефти и природного газа – Сахалинская область, Тюменская область и Ямало-Ненецкий АО</w:t>
      </w:r>
      <w:r>
        <w:rPr>
          <w:rFonts w:eastAsia="Times New Roman" w:cs="Times New Roman" w:ascii="Times New Roman" w:hAnsi="Times New Roman"/>
          <w:sz w:val="24"/>
          <w:szCs w:val="24"/>
          <w:highlight w:val="yellow"/>
        </w:rPr>
        <w:t>.//ОТРАЗИТЬ ПОКАЗАТЕЛИ НА РЕГИОНАЛЬНОЙ КАРТЕ</w:t>
      </w:r>
    </w:p>
    <w:p>
      <w:pPr>
        <w:pStyle w:val="Normal"/>
        <w:spacing w:lineRule="auto" w:line="360" w:before="120" w:after="12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4.2 Аналитические показатели для рынка газа</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4.2.1. Отношение между объемом запасов и объемом добычи в региональном разрезе</w:t>
      </w:r>
    </w:p>
    <w:p>
      <w:pPr>
        <w:pStyle w:val="Normal"/>
        <w:spacing w:lineRule="auto" w:line="360" w:before="120" w:after="120"/>
        <w:contextualSpacing/>
        <w:jc w:val="both"/>
        <w:rPr/>
      </w:pPr>
      <w:r>
        <w:rPr>
          <w:rFonts w:cs="Times New Roman" w:ascii="Times New Roman" w:hAnsi="Times New Roman"/>
          <w:sz w:val="24"/>
          <w:szCs w:val="24"/>
        </w:rPr>
        <w:t xml:space="preserve">Показатель отношение между объемом запасов и объемом добычи природного газа, также называемый показателем кратности запасов добыче, рассчитывается по формуле </w:t>
      </w:r>
      <w:r>
        <w:rPr>
          <w:rFonts w:cs="Times New Roman" w:ascii="Times New Roman" w:hAnsi="Times New Roman"/>
          <w:sz w:val="24"/>
          <w:szCs w:val="24"/>
        </w:rPr>
        <w:fldChar w:fldCharType="begin"/>
      </w:r>
      <w:r>
        <w:rPr>
          <w:sz w:val="24"/>
          <w:szCs w:val="24"/>
          <w:rFonts w:cs="Times New Roman" w:ascii="Times New Roman" w:hAnsi="Times New Roman"/>
        </w:rPr>
        <w:instrText> REF _Ref18649548 \h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gas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res</m:t>
                      </m:r>
                    </m:sub>
                  </m:sSub>
                </m:num>
                <m:den>
                  <m:sSub>
                    <m:e>
                      <m:r>
                        <w:rPr>
                          <w:rFonts w:ascii="Cambria Math" w:hAnsi="Cambria Math"/>
                        </w:rPr>
                        <m:t xml:space="preserve">V</m:t>
                      </m:r>
                    </m:e>
                    <m:sub>
                      <m:r>
                        <w:rPr>
                          <w:rFonts w:ascii="Cambria Math" w:hAnsi="Cambria Math"/>
                        </w:rPr>
                        <m:t xml:space="preserve">ex</m:t>
                      </m:r>
                    </m:sub>
                  </m:sSub>
                </m:den>
              </m:f>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bookmarkStart w:id="4" w:name="_Ref18649548"/>
            <w:r>
              <w:rPr/>
              <w:t>(</w:t>
            </w:r>
            <w:r>
              <w:rPr/>
              <w:fldChar w:fldCharType="begin"/>
            </w:r>
            <w:r>
              <w:rPr/>
              <w:instrText> SEQ Формула \* ARABIC </w:instrText>
            </w:r>
            <w:r>
              <w:rPr/>
              <w:fldChar w:fldCharType="separate"/>
            </w:r>
            <w:r>
              <w:rPr/>
              <w:t>5</w:t>
            </w:r>
            <w:r>
              <w:rPr/>
              <w:fldChar w:fldCharType="end"/>
            </w:r>
            <w:r>
              <w:rPr/>
              <w:t>)</w:t>
            </w:r>
            <w:bookmarkEnd w:id="4"/>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res</m:t>
            </m:r>
          </m:sub>
        </m:sSub>
      </m:oMath>
      <w:r>
        <w:rPr>
          <w:rFonts w:cs="Times New Roman" w:ascii="Times New Roman" w:hAnsi="Times New Roman"/>
          <w:sz w:val="24"/>
          <w:szCs w:val="24"/>
        </w:rPr>
        <w:t xml:space="preserve"> – текущих разведанных извлекаемых запасов природного газа на начало года, куб. м, </w:t>
      </w:r>
      <w:r>
        <w:rPr/>
      </w:r>
      <m:oMath xmlns:m="http://schemas.openxmlformats.org/officeDocument/2006/math">
        <m:sSub>
          <m:e>
            <m:r>
              <w:rPr>
                <w:rFonts w:ascii="Cambria Math" w:hAnsi="Cambria Math"/>
              </w:rPr>
              <m:t xml:space="preserve">V</m:t>
            </m:r>
          </m:e>
          <m:sub>
            <m:r>
              <w:rPr>
                <w:rFonts w:ascii="Cambria Math" w:hAnsi="Cambria Math"/>
              </w:rPr>
              <m:t xml:space="preserve">ex</m:t>
            </m:r>
          </m:sub>
        </m:sSub>
      </m:oMath>
      <w:r>
        <w:rPr>
          <w:rFonts w:cs="Times New Roman" w:ascii="Times New Roman" w:hAnsi="Times New Roman"/>
          <w:sz w:val="24"/>
          <w:szCs w:val="24"/>
        </w:rPr>
        <w:t xml:space="preserve"> – объём добычи природного газа за год, куб. м. </w:t>
      </w:r>
    </w:p>
    <w:p>
      <w:pPr>
        <w:pStyle w:val="Normal"/>
        <w:spacing w:lineRule="auto" w:line="360" w:before="120" w:after="120"/>
        <w:contextualSpacing/>
        <w:jc w:val="both"/>
        <w:rPr/>
      </w:pPr>
      <w:r>
        <w:rPr>
          <w:rFonts w:cs="Times New Roman" w:ascii="Times New Roman" w:hAnsi="Times New Roman"/>
          <w:sz w:val="24"/>
          <w:szCs w:val="24"/>
        </w:rPr>
        <w:t xml:space="preserve">Показатель отражает продолжительность существования запасов природного газа (в годах) при сохранении объемов добычи на том же уровне без дополнительного прироста запасов. Показатель довольно условно отражает обеспеченность ресурсом того или иного региона, однако может являться отправным критерием для планирования прироста запасов ресурса в перспективе. </w:t>
      </w:r>
    </w:p>
    <w:p>
      <w:pPr>
        <w:pStyle w:val="Normal"/>
        <w:spacing w:lineRule="auto" w:line="360" w:before="120" w:after="120"/>
        <w:contextualSpacing/>
        <w:jc w:val="both"/>
        <w:rPr/>
      </w:pPr>
      <w:r>
        <w:rPr>
          <w:rFonts w:cs="Times New Roman" w:ascii="Times New Roman" w:hAnsi="Times New Roman"/>
          <w:sz w:val="24"/>
          <w:szCs w:val="24"/>
        </w:rPr>
        <w:t xml:space="preserve">Динамика прироста запасов природного газа и кратность их восполнения схожа с тенденциями в воспроизводстве запасов нефти: период, когда добыча газа велась в объемах больших, чем прирост запасов наблюдался в период с 1994 по 2010, начиная с 2010 года объем прироста запасов газа превысил текущий уровень добычи газа, в период с 2014 – 2017 наблюдается сокращение темпов прироста запасов газа </w:t>
      </w:r>
      <w:sdt>
        <w:sdtPr>
          <w:citation/>
        </w:sdtPr>
        <w:sdtContent>
          <w:r>
            <w:rPr/>
            <w:fldChar w:fldCharType="begin"/>
          </w:r>
          <w:r>
            <w:rPr/>
            <w:instrText> CITATION ИВФ17 \l 1049 </w:instrText>
          </w:r>
          <w:r>
            <w:rPr/>
            <w:fldChar w:fldCharType="separate"/>
          </w:r>
          <w:r>
            <w:rPr/>
            <w:t>[10]</w:t>
          </w:r>
          <w:r>
            <w:rPr/>
            <w:fldChar w:fldCharType="end"/>
          </w:r>
        </w:sdtContent>
      </w:sdt>
      <w:r>
        <w:rPr>
          <w:rFonts w:cs="Times New Roman" w:ascii="Times New Roman" w:hAnsi="Times New Roman"/>
          <w:sz w:val="24"/>
          <w:szCs w:val="24"/>
        </w:rPr>
        <w:t>.</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«Запасы газа, трлн куб. м» – показатель, отражающий объем запасов нефти на начало 2017 года, для большинства нефтедобывающих регионов указанная в государственном докладе Министерства природных ресурсов </w:t>
      </w:r>
      <w:sdt>
        <w:sdtPr>
          <w:citation/>
        </w:sdtPr>
        <w:sdtContent>
          <w:r>
            <w:rPr/>
            <w:fldChar w:fldCharType="begin"/>
          </w:r>
          <w:r>
            <w:rPr/>
            <w:instrText> CITATION Мин18 \l 1049 </w:instrText>
          </w:r>
          <w:r>
            <w:rPr/>
            <w:fldChar w:fldCharType="separate"/>
          </w:r>
          <w:r>
            <w:rPr/>
            <w:t>[5]</w:t>
          </w:r>
          <w:r>
            <w:rPr/>
            <w:fldChar w:fldCharType="end"/>
          </w:r>
        </w:sdtContent>
      </w:sdt>
      <w:r>
        <w:rPr>
          <w:rFonts w:cs="Times New Roman" w:ascii="Times New Roman" w:hAnsi="Times New Roman"/>
          <w:sz w:val="24"/>
          <w:szCs w:val="24"/>
        </w:rPr>
        <w:t xml:space="preserve">. Для остальных субъектов РФ этот показатель была получен из экологических паспортов субъекта </w:t>
      </w:r>
      <w:sdt>
        <w:sdtPr>
          <w:citation/>
        </w:sdtPr>
        <w:sdtContent>
          <w:r>
            <w:rPr/>
            <w:fldChar w:fldCharType="begin"/>
          </w:r>
          <w:r>
            <w:rPr/>
            <w:instrText> CITATION Эко19 \l 1049 </w:instrText>
          </w:r>
          <w:r>
            <w:rPr/>
            <w:fldChar w:fldCharType="separate"/>
          </w:r>
          <w:r>
            <w:rPr/>
            <w:t>[6]</w:t>
          </w:r>
          <w:r>
            <w:rPr/>
            <w:fldChar w:fldCharType="end"/>
          </w:r>
        </w:sdtContent>
      </w:sdt>
      <w:r>
        <w:rPr>
          <w:rFonts w:cs="Times New Roman" w:ascii="Times New Roman" w:hAnsi="Times New Roman"/>
          <w:sz w:val="24"/>
          <w:szCs w:val="24"/>
        </w:rPr>
        <w:t xml:space="preserve">, доклада министра природных ресурсов и экологии. </w:t>
      </w:r>
      <w:r>
        <w:rPr>
          <w:rFonts w:cs="Times New Roman" w:ascii="Times New Roman" w:hAnsi="Times New Roman"/>
          <w:sz w:val="24"/>
          <w:szCs w:val="24"/>
        </w:rPr>
        <w:t xml:space="preserve">Показатель «Запасы газа, трлн куб. м» отражает только запасы свободного газа, находящиеся на суше, помимо этих запасов, России также принадлежат запасы, находящиеся на территории Охотского моря, Каспийского моря, Баренцева моря, Карского моря и Азовского моря.  «Объем добычи природного горючего газа, млн куб. м.» за 2017 г доступен из Налоговых паспортов субъектов РФ </w:t>
      </w:r>
      <w:sdt>
        <w:sdtPr>
          <w:citation/>
        </w:sdtPr>
        <w:sdtContent>
          <w:r>
            <w:rPr/>
            <w:fldChar w:fldCharType="begin"/>
          </w:r>
          <w:r>
            <w:rPr/>
            <w:instrText> CITATION Фед19 \l 1049 </w:instrText>
          </w:r>
          <w:r>
            <w:rPr/>
            <w:fldChar w:fldCharType="separate"/>
          </w:r>
          <w:r>
            <w:rPr/>
            <w:t>[8]</w:t>
          </w:r>
          <w:r>
            <w:rPr/>
            <w:fldChar w:fldCharType="end"/>
          </w:r>
        </w:sdtContent>
      </w:sdt>
      <w:r>
        <w:rPr>
          <w:rFonts w:cs="Times New Roman" w:ascii="Times New Roman" w:hAnsi="Times New Roman"/>
          <w:sz w:val="24"/>
          <w:szCs w:val="24"/>
        </w:rPr>
        <w:t xml:space="preserve"> для каждого из нефтедобывающих субъектов РФ. </w:t>
      </w:r>
    </w:p>
    <w:p>
      <w:pPr>
        <w:pStyle w:val="Normal"/>
        <w:spacing w:lineRule="auto" w:line="360" w:before="120" w:after="120"/>
        <w:contextualSpacing/>
        <w:jc w:val="both"/>
        <w:rPr/>
      </w:pPr>
      <w:r>
        <w:rPr>
          <w:rFonts w:cs="Times New Roman" w:ascii="Times New Roman" w:hAnsi="Times New Roman"/>
          <w:sz w:val="24"/>
          <w:szCs w:val="24"/>
        </w:rPr>
        <w:t>В 11 из 26 регионов кратность запасов менее 100 лет, причем в Краснодарском и Камчатском краях кратность природного газа менее 35 лет. В 6 регионах кратность запасов природного газа превышает 1000 лет, причем в Якутии, Иркутской области и Ненецком АО такая величина показателя наблюдается за счет значительных запасов природного газа, а в Республике Башкортостан, Республике Калмыкия и Чеченской Республике – за счет превышения относительно небольших объемов ресурса природного над незначительными объемами добычи.</w:t>
      </w:r>
      <w:r>
        <w:rPr>
          <w:rFonts w:eastAsia="Times New Roman" w:cs="Times New Roman" w:ascii="Times New Roman" w:hAnsi="Times New Roman"/>
          <w:sz w:val="24"/>
          <w:szCs w:val="24"/>
          <w:highlight w:val="yellow"/>
        </w:rPr>
        <w:t xml:space="preserve"> //ОТРАЗИТЬ ПОКАЗАТЕЛЬ НА РЕГИОНАЛЬНОЙ КАРТЕ</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4.2.2. Объемы собираемых налоговых платежей (НДПИ) в региональном разрезе</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Налоговой базой налога на добычу полезных ископаемых является стоимость добытых полезных ископаемых. Для расчета НДПИ на газ и газовый конденсат используются твердые ставки. Дифференцированные ставки акциза на нефть и газовый конденсат для нефтегазодобывающих предприятий утверждаются Постановлением Правительства РФ.</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показатели «Налог на добычу полезных ископаемых (на газ горючий), млн руб.», «Налог на добычу полезных ископаемых (на газовый конденсат), млн руб.» за 2014 – 2017 г доступны из Налоговых паспортов субъектов РФ </w:t>
      </w:r>
      <w:sdt>
        <w:sdtPr>
          <w:citation/>
        </w:sdtPr>
        <w:sdtContent>
          <w:r>
            <w:rPr/>
            <w:fldChar w:fldCharType="begin"/>
          </w:r>
          <w:r>
            <w:rPr/>
            <w:instrText> CITATION Фед19 \l 1049 </w:instrText>
          </w:r>
          <w:r>
            <w:rPr/>
            <w:fldChar w:fldCharType="separate"/>
          </w:r>
          <w:r>
            <w:rPr/>
            <w:t>[8]</w:t>
          </w:r>
          <w:r>
            <w:rPr/>
            <w:fldChar w:fldCharType="end"/>
          </w:r>
        </w:sdtContent>
      </w:sdt>
      <w:r>
        <w:rPr>
          <w:rFonts w:cs="Times New Roman" w:ascii="Times New Roman" w:hAnsi="Times New Roman"/>
          <w:sz w:val="24"/>
          <w:szCs w:val="24"/>
        </w:rPr>
        <w:t xml:space="preserve"> для каждого из нефтедобывающих субъектов РФ. Значение за 2013 год восстановлено по значению показателя «В % к предыдущему периоду, в 2014 г». Поступления от НДПИ и акцизов рассчитываются как в целом, так отдельно для федерального бюджета и консолидированного бюджета субъекта РФ.</w:t>
      </w:r>
    </w:p>
    <w:p>
      <w:pPr>
        <w:pStyle w:val="Normal"/>
        <w:spacing w:lineRule="auto" w:line="360" w:before="120" w:after="120"/>
        <w:contextualSpacing/>
        <w:jc w:val="both"/>
        <w:rPr/>
      </w:pPr>
      <w:r>
        <w:rPr>
          <w:rFonts w:cs="Times New Roman" w:ascii="Times New Roman" w:hAnsi="Times New Roman"/>
          <w:sz w:val="24"/>
          <w:szCs w:val="24"/>
        </w:rPr>
        <w:t xml:space="preserve">Налог на добычу природного газа в Ямало-Ненецком АО превышает средние значения по газдобывающим регионам России в среднем за 2013-2019 годы в 24 раза. Регионы, в которых доля </w:t>
      </w:r>
      <w:r>
        <w:rPr>
          <w:rFonts w:eastAsia="Times New Roman" w:cs="Times New Roman" w:ascii="Times New Roman" w:hAnsi="Times New Roman"/>
          <w:sz w:val="24"/>
          <w:szCs w:val="24"/>
        </w:rPr>
        <w:t xml:space="preserve">доходов от поступления налога на добычу </w:t>
      </w:r>
      <w:r>
        <w:rPr>
          <w:rFonts w:cs="Times New Roman" w:ascii="Times New Roman" w:hAnsi="Times New Roman"/>
          <w:sz w:val="24"/>
          <w:szCs w:val="24"/>
        </w:rPr>
        <w:t>природного газа существенно</w:t>
      </w:r>
      <w:r>
        <w:rPr>
          <w:rFonts w:eastAsia="Times New Roman" w:cs="Times New Roman" w:ascii="Times New Roman" w:hAnsi="Times New Roman"/>
          <w:sz w:val="24"/>
          <w:szCs w:val="24"/>
        </w:rPr>
        <w:t xml:space="preserve"> выше, чем в остальных – Республика Адыгея (от 69,2 % до 72,8 %), Ямало-Ненецкий АО (от 65,1 % до 72,8 %).  </w:t>
      </w:r>
      <w:r>
        <w:rPr>
          <w:rFonts w:cs="Times New Roman" w:ascii="Times New Roman" w:hAnsi="Times New Roman"/>
          <w:sz w:val="24"/>
          <w:szCs w:val="24"/>
        </w:rPr>
        <w:t xml:space="preserve">Налог на добычу газового конденсата в Ямало-Ненецком АО превышает средние значения по газодобывающим регионам России в среднем за 2013-2019 годы в 16,2 раз. В </w:t>
      </w:r>
      <w:r>
        <w:rPr>
          <w:rFonts w:eastAsia="Times New Roman" w:cs="Times New Roman" w:ascii="Times New Roman" w:hAnsi="Times New Roman"/>
          <w:sz w:val="24"/>
          <w:szCs w:val="24"/>
        </w:rPr>
        <w:t>Астраханской области</w:t>
      </w:r>
      <w:r>
        <w:rPr>
          <w:rFonts w:cs="Times New Roman" w:ascii="Times New Roman" w:hAnsi="Times New Roman"/>
          <w:sz w:val="24"/>
          <w:szCs w:val="24"/>
        </w:rPr>
        <w:t xml:space="preserve"> доля </w:t>
      </w:r>
      <w:r>
        <w:rPr>
          <w:rFonts w:eastAsia="Times New Roman" w:cs="Times New Roman" w:ascii="Times New Roman" w:hAnsi="Times New Roman"/>
          <w:sz w:val="24"/>
          <w:szCs w:val="24"/>
        </w:rPr>
        <w:t xml:space="preserve">доходов от поступления налога на добычу </w:t>
      </w:r>
      <w:r>
        <w:rPr>
          <w:rFonts w:cs="Times New Roman" w:ascii="Times New Roman" w:hAnsi="Times New Roman"/>
          <w:sz w:val="24"/>
          <w:szCs w:val="24"/>
        </w:rPr>
        <w:t>газового конденсата существенно</w:t>
      </w:r>
      <w:r>
        <w:rPr>
          <w:rFonts w:eastAsia="Times New Roman" w:cs="Times New Roman" w:ascii="Times New Roman" w:hAnsi="Times New Roman"/>
          <w:sz w:val="24"/>
          <w:szCs w:val="24"/>
        </w:rPr>
        <w:t xml:space="preserve"> выше, чем в остальных, – от 26,2 % до 60,6 %). </w:t>
      </w:r>
      <w:r>
        <w:rPr>
          <w:rFonts w:cs="Times New Roman" w:ascii="Times New Roman" w:hAnsi="Times New Roman"/>
          <w:sz w:val="24"/>
          <w:szCs w:val="24"/>
        </w:rPr>
        <w:t>Налог на добычу природного газа и газового конденсата для всех нефтедобывающих регионов полностью идет в федеральный бюджет.</w:t>
      </w:r>
      <w:r>
        <w:rPr>
          <w:rFonts w:eastAsia="Times New Roman" w:cs="Times New Roman" w:ascii="Times New Roman" w:hAnsi="Times New Roman"/>
          <w:sz w:val="24"/>
          <w:szCs w:val="24"/>
          <w:highlight w:val="yellow"/>
        </w:rPr>
        <w:t xml:space="preserve"> //ОТРАЗИТЬ ПОКАЗАТЕЛИ НА РЕГИОНАЛЬНОЙ КАРТЕ</w:t>
      </w:r>
    </w:p>
    <w:p>
      <w:pPr>
        <w:pStyle w:val="Heading"/>
        <w:spacing w:lineRule="auto" w:line="360" w:before="240" w:after="12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4.3 Аналитические показатели для рынка электроэнергетики</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4.3.1. Спарк-спред.</w:t>
      </w:r>
    </w:p>
    <w:p>
      <w:pPr>
        <w:pStyle w:val="Normal"/>
        <w:spacing w:lineRule="auto" w:line="360" w:before="120" w:after="120"/>
        <w:contextualSpacing/>
        <w:jc w:val="both"/>
        <w:rPr/>
      </w:pPr>
      <w:r>
        <w:rPr>
          <w:rFonts w:cs="Times New Roman" w:ascii="Times New Roman" w:hAnsi="Times New Roman"/>
          <w:sz w:val="24"/>
          <w:szCs w:val="24"/>
        </w:rPr>
        <w:t xml:space="preserve">Спарк-спред отражает разницу между оптовой ценой единицы электроэнергии, получаемой электростанцией, и стоимостью природного газа, необходимого для выработки этой единицы электроэнергии. Рассчитывается по формуле </w:t>
      </w:r>
      <w:r>
        <w:rPr>
          <w:rFonts w:cs="Times New Roman" w:ascii="Times New Roman" w:hAnsi="Times New Roman"/>
          <w:sz w:val="24"/>
          <w:szCs w:val="24"/>
        </w:rPr>
        <w:fldChar w:fldCharType="begin"/>
      </w:r>
      <w:r>
        <w:rPr>
          <w:sz w:val="24"/>
          <w:szCs w:val="24"/>
          <w:rFonts w:cs="Times New Roman" w:ascii="Times New Roman" w:hAnsi="Times New Roman"/>
        </w:rPr>
        <w:instrText> REF _Ref18649565 \h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ng</m:t>
                  </m:r>
                </m:sub>
              </m:sSub>
              <m:r>
                <w:rPr>
                  <w:rFonts w:ascii="Cambria Math" w:hAnsi="Cambria Math"/>
                </w:rPr>
                <m:t xml:space="preserve">∗</m:t>
              </m:r>
              <m:r>
                <w:rPr>
                  <w:rFonts w:ascii="Cambria Math" w:hAnsi="Cambria Math"/>
                </w:rPr>
                <m:t xml:space="preserve">h</m:t>
              </m:r>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bookmarkStart w:id="5" w:name="_Ref18649565"/>
            <w:r>
              <w:rPr/>
              <w:t>(</w:t>
            </w:r>
            <w:r>
              <w:rPr/>
              <w:fldChar w:fldCharType="begin"/>
            </w:r>
            <w:r>
              <w:rPr/>
              <w:instrText> SEQ Формула \* ARABIC </w:instrText>
            </w:r>
            <w:r>
              <w:rPr/>
              <w:fldChar w:fldCharType="separate"/>
            </w:r>
            <w:r>
              <w:rPr/>
              <w:t>6</w:t>
            </w:r>
            <w:r>
              <w:rPr/>
              <w:fldChar w:fldCharType="end"/>
            </w:r>
            <w:r>
              <w:rPr/>
              <w:t>)</w:t>
            </w:r>
            <w:bookmarkEnd w:id="5"/>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el</m:t>
            </m:r>
          </m:sub>
        </m:sSub>
      </m:oMath>
      <w:r>
        <w:rPr>
          <w:rFonts w:cs="Times New Roman" w:ascii="Times New Roman" w:hAnsi="Times New Roman"/>
          <w:sz w:val="24"/>
          <w:szCs w:val="24"/>
        </w:rPr>
        <w:t xml:space="preserve"> – цена за МВт*ч электричества, </w:t>
      </w:r>
      <w:r>
        <w:rPr/>
      </w:r>
      <m:oMath xmlns:m="http://schemas.openxmlformats.org/officeDocument/2006/math">
        <m:sSub>
          <m:e>
            <m:r>
              <w:rPr>
                <w:rFonts w:ascii="Cambria Math" w:hAnsi="Cambria Math"/>
              </w:rPr>
              <m:t xml:space="preserve">p</m:t>
            </m:r>
          </m:e>
          <m:sub>
            <m:r>
              <w:rPr>
                <w:rFonts w:ascii="Cambria Math" w:hAnsi="Cambria Math"/>
              </w:rPr>
              <m:t xml:space="preserve">ng</m:t>
            </m:r>
          </m:sub>
        </m:sSub>
      </m:oMath>
      <w:r>
        <w:rPr>
          <w:rFonts w:cs="Times New Roman" w:ascii="Times New Roman" w:hAnsi="Times New Roman"/>
          <w:sz w:val="24"/>
          <w:szCs w:val="24"/>
        </w:rPr>
        <w:t xml:space="preserve"> – стоимость природного газа, необходимого для получения 1 гкал, </w:t>
      </w:r>
      <w:r>
        <w:rPr/>
      </w:r>
      <m:oMath xmlns:m="http://schemas.openxmlformats.org/officeDocument/2006/math">
        <m:r>
          <w:rPr>
            <w:rFonts w:ascii="Cambria Math" w:hAnsi="Cambria Math"/>
          </w:rPr>
          <m:t xml:space="preserve">h</m:t>
        </m:r>
      </m:oMath>
      <w:r>
        <w:rPr>
          <w:rFonts w:cs="Times New Roman" w:ascii="Times New Roman" w:hAnsi="Times New Roman"/>
        </w:rPr>
        <w:t xml:space="preserve"> </w:t>
      </w:r>
      <w:r>
        <w:rPr>
          <w:rFonts w:cs="Times New Roman" w:ascii="Times New Roman" w:hAnsi="Times New Roman"/>
          <w:sz w:val="24"/>
          <w:szCs w:val="24"/>
        </w:rPr>
        <w:t xml:space="preserve">– удельный расход тепловой энергии от сжигания условного топлива, необходимого для производства электроэнергии, гкал/МВт*ч. </w:t>
      </w:r>
    </w:p>
    <w:p>
      <w:pPr>
        <w:pStyle w:val="TextBody"/>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Существует несколько спарк-спредов: темный спарк-спред (dark-spread) отражает экономику электростанций, работающих на угле, кварк-спред (quark-spread) – атомных электростанций, барк-спред (bark-spread) – электростанций, работающих на биотопливе, «чистый" спарк-спред учитывает затраты на приобретение разрешений на эмиссию окиси углерода.</w:t>
      </w:r>
    </w:p>
    <w:p>
      <w:pPr>
        <w:pStyle w:val="TextBody"/>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Удельный расход тепловой энергии на производство э/э показывает, насколько эффективно электростанция преобразует топливо в электричество, т.е. является величиной обратной эффективности установки. Чем ниже этот показатель, тем выше тепловая эффективность установки, и, следовательно, более она конкурентоспособна. Продавцы электроэнергии могут использовать точное значение этого показателя, а участники рынка могут использовать его усредненные оценки. </w:t>
      </w:r>
    </w:p>
    <w:p>
      <w:pPr>
        <w:pStyle w:val="TextBody"/>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Показатель рассчитывается с использованием ежедневных спотовых цен на природный газ и электроэнергию в различных регионах. Спарк-спреды часто даже более волатильны, чем крэк-спреды, за счет высокой волатильности оптовых цен на электроэнергию. Спарк-спред не учитывает другие затраты, связанные с выработкой электроэнергии, например, затраты на транспортировку или эксплуатационные расходы, а значит не может является точным показателем прибыльности конкретного генератора.</w:t>
      </w:r>
    </w:p>
    <w:p>
      <w:pPr>
        <w:pStyle w:val="Normal"/>
        <w:spacing w:lineRule="auto" w:line="360" w:before="120" w:after="120"/>
        <w:contextualSpacing/>
        <w:jc w:val="both"/>
        <w:rPr/>
      </w:pPr>
      <w:r>
        <w:rPr>
          <w:rFonts w:cs="Times New Roman" w:ascii="Times New Roman" w:hAnsi="Times New Roman"/>
          <w:sz w:val="24"/>
          <w:szCs w:val="24"/>
        </w:rPr>
        <w:t>Спарк-спреды являются показателем краткосрочной рентабельности электрических генераторов, работающих на природном газе.:</w:t>
      </w:r>
    </w:p>
    <w:p>
      <w:pPr>
        <w:pStyle w:val="Normal"/>
        <w:numPr>
          <w:ilvl w:val="0"/>
          <w:numId w:val="2"/>
        </w:numPr>
        <w:spacing w:lineRule="auto" w:line="360" w:before="120" w:after="120"/>
        <w:contextualSpacing/>
        <w:jc w:val="both"/>
        <w:rPr/>
      </w:pPr>
      <w:r>
        <w:rPr>
          <w:rFonts w:cs="Times New Roman" w:ascii="Times New Roman" w:hAnsi="Times New Roman"/>
          <w:sz w:val="24"/>
          <w:szCs w:val="24"/>
        </w:rPr>
        <w:t>если цены на электричество растут быстрее, чем цены на натуральный газ (или цены на натуральный газ падают), то спред расширяется, и электростанция получает прибыль;</w:t>
      </w:r>
    </w:p>
    <w:p>
      <w:pPr>
        <w:pStyle w:val="Normal"/>
        <w:numPr>
          <w:ilvl w:val="0"/>
          <w:numId w:val="2"/>
        </w:numPr>
        <w:spacing w:lineRule="auto" w:line="360" w:before="120" w:after="120"/>
        <w:contextualSpacing/>
        <w:jc w:val="both"/>
        <w:rPr/>
      </w:pPr>
      <w:r>
        <w:rPr>
          <w:rFonts w:cs="Times New Roman" w:ascii="Times New Roman" w:hAnsi="Times New Roman"/>
          <w:sz w:val="24"/>
          <w:szCs w:val="24"/>
        </w:rPr>
        <w:t>если цены на электричество падают быстрее, чем цены на натуральный газ (или цена на натуральный газ растет), то спред сужается, и электростанция получает убыток.</w:t>
      </w:r>
    </w:p>
    <w:p>
      <w:pPr>
        <w:pStyle w:val="Normal"/>
        <w:spacing w:lineRule="auto" w:line="360" w:before="120" w:after="120"/>
        <w:contextualSpacing/>
        <w:jc w:val="both"/>
        <w:rPr/>
      </w:pPr>
      <w:r>
        <w:rPr>
          <w:rFonts w:cs="Times New Roman" w:ascii="Times New Roman" w:hAnsi="Times New Roman"/>
          <w:sz w:val="24"/>
          <w:szCs w:val="24"/>
        </w:rPr>
        <w:t>При доступности необходимых финансовых инструментов спарк-спред может использоваться генерирующими компаниям, чтобы зафиксировать маржу при продаже фьючерсов на электроэнергию и покупке контрактов на природный газ.</w:t>
      </w:r>
    </w:p>
    <w:p>
      <w:pPr>
        <w:pStyle w:val="Normal"/>
        <w:spacing w:lineRule="auto" w:line="360" w:before="120" w:after="120"/>
        <w:contextualSpacing/>
        <w:jc w:val="both"/>
        <w:rPr/>
      </w:pPr>
      <w:r>
        <w:rPr>
          <w:rFonts w:cs="Times New Roman" w:ascii="Times New Roman" w:hAnsi="Times New Roman"/>
          <w:sz w:val="24"/>
          <w:szCs w:val="24"/>
        </w:rPr>
        <w:t xml:space="preserve">Используемые данные – данные по средним ценам производителей по федеральным округам на электроэнергию, отпущенную различным категориям потребителей по свободным ценам (за Мегаватт-час) взяты из набора данных «Средние цены производителей промышленных товаров» </w:t>
      </w:r>
      <w:sdt>
        <w:sdtPr>
          <w:citation/>
        </w:sdtPr>
        <w:sdtContent>
          <w:r>
            <w:rPr/>
            <w:fldChar w:fldCharType="begin"/>
          </w:r>
          <w:r>
            <w:rPr/>
            <w:instrText> CITATION ЦБС19 \l 1049 </w:instrText>
          </w:r>
          <w:r>
            <w:rPr/>
            <w:fldChar w:fldCharType="separate"/>
          </w:r>
          <w:r>
            <w:rPr/>
            <w:t>[12]</w:t>
          </w:r>
          <w:r>
            <w:rPr/>
            <w:fldChar w:fldCharType="end"/>
          </w:r>
        </w:sdtContent>
      </w:sdt>
      <w:r>
        <w:rPr>
          <w:rFonts w:cs="Times New Roman" w:ascii="Times New Roman" w:hAnsi="Times New Roman"/>
          <w:sz w:val="24"/>
          <w:szCs w:val="24"/>
        </w:rPr>
        <w:t xml:space="preserve">. Показатель публикуется по месяцам и усредняется по годам. Для Дальневосточного федерального округа показатель не указан, вместо него используются средние цены по РФ. </w:t>
      </w:r>
    </w:p>
    <w:p>
      <w:pPr>
        <w:pStyle w:val="Normal"/>
        <w:spacing w:lineRule="auto" w:line="360" w:before="120" w:after="120"/>
        <w:contextualSpacing/>
        <w:jc w:val="both"/>
        <w:rPr/>
      </w:pPr>
      <w:r>
        <w:rPr>
          <w:rFonts w:cs="Times New Roman" w:ascii="Times New Roman" w:hAnsi="Times New Roman"/>
          <w:sz w:val="24"/>
          <w:szCs w:val="24"/>
        </w:rPr>
        <w:t xml:space="preserve">Данные по оптовым ценам на газ для субъектов РФ доступны из приказов ФАС </w:t>
      </w:r>
      <w:sdt>
        <w:sdtPr>
          <w:citation/>
        </w:sdtPr>
        <w:sdtContent>
          <w:r>
            <w:rPr/>
            <w:fldChar w:fldCharType="begin"/>
          </w:r>
          <w:r>
            <w:rPr/>
            <w:instrText> CITATION Обу18 \l 1049 </w:instrText>
          </w:r>
          <w:r>
            <w:rPr/>
            <w:fldChar w:fldCharType="separate"/>
          </w:r>
          <w:r>
            <w:rPr/>
            <w:t>[18]</w:t>
          </w:r>
          <w:r>
            <w:rPr/>
            <w:fldChar w:fldCharType="end"/>
          </w:r>
        </w:sdtContent>
      </w:sdt>
      <w:r>
        <w:rPr>
          <w:rFonts w:cs="Times New Roman" w:ascii="Times New Roman" w:hAnsi="Times New Roman"/>
          <w:sz w:val="24"/>
          <w:szCs w:val="24"/>
        </w:rPr>
        <w:t xml:space="preserve"> за 2012 – 2019 годы. Цена указана за 1000 куб. м природного газа. В </w:t>
      </w:r>
      <w:r>
        <w:rPr>
          <w:rFonts w:cs="Times New Roman" w:ascii="Times New Roman" w:hAnsi="Times New Roman"/>
          <w:sz w:val="24"/>
          <w:szCs w:val="24"/>
        </w:rPr>
        <w:t xml:space="preserve">приказах ФАС указана расчетная объемная теплота сгорания природного газа </w:t>
      </w:r>
      <w:r>
        <w:rPr/>
      </w:r>
      <m:oMath xmlns:m="http://schemas.openxmlformats.org/officeDocument/2006/math">
        <m:sSub>
          <m:e>
            <m:r>
              <w:rPr>
                <w:rFonts w:ascii="Cambria Math" w:hAnsi="Cambria Math"/>
              </w:rPr>
              <m:t xml:space="preserve">λ</m:t>
            </m:r>
          </m:e>
          <m:sub>
            <m:r>
              <w:rPr>
                <w:rFonts w:ascii="Cambria Math" w:hAnsi="Cambria Math"/>
              </w:rPr>
              <m:t xml:space="preserve">g</m:t>
            </m:r>
          </m:sub>
        </m:sSub>
      </m:oMath>
      <w:r>
        <w:rPr>
          <w:rFonts w:cs="Times New Roman" w:ascii="Times New Roman" w:hAnsi="Times New Roman"/>
          <w:sz w:val="24"/>
          <w:szCs w:val="24"/>
        </w:rPr>
        <w:t xml:space="preserve"> = 7900 ккал/м3. Соответственно для получения цены за Гкал от сгорания природного газа:</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ng</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ng</m:t>
                      </m:r>
                      <m:r>
                        <w:rPr>
                          <w:rFonts w:ascii="Cambria Math" w:hAnsi="Cambria Math"/>
                        </w:rPr>
                        <m:t xml:space="preserve">per</m:t>
                      </m:r>
                      <m:r>
                        <w:rPr>
                          <w:rFonts w:ascii="Cambria Math" w:hAnsi="Cambria Math"/>
                        </w:rPr>
                        <m:t xml:space="preserve">1000</m:t>
                      </m:r>
                      <m:r>
                        <w:rPr>
                          <w:rFonts w:ascii="Cambria Math" w:hAnsi="Cambria Math"/>
                        </w:rPr>
                        <m:t xml:space="preserve">cub</m:t>
                      </m:r>
                    </m:sub>
                  </m:sSub>
                </m:num>
                <m:den>
                  <m:r>
                    <w:rPr>
                      <w:rFonts w:ascii="Cambria Math" w:hAnsi="Cambria Math"/>
                    </w:rPr>
                    <m:t xml:space="preserve">0.001</m:t>
                  </m:r>
                  <m:r>
                    <w:rPr>
                      <w:rFonts w:ascii="Cambria Math" w:hAnsi="Cambria Math"/>
                    </w:rPr>
                    <m:t xml:space="preserve">∗</m:t>
                  </m:r>
                  <m:sSub>
                    <m:e>
                      <m:r>
                        <w:rPr>
                          <w:rFonts w:ascii="Cambria Math" w:hAnsi="Cambria Math"/>
                        </w:rPr>
                        <m:t xml:space="preserve">λ</m:t>
                      </m:r>
                    </m:e>
                    <m:sub>
                      <m:r>
                        <w:rPr>
                          <w:rFonts w:ascii="Cambria Math" w:hAnsi="Cambria Math"/>
                        </w:rPr>
                        <m:t xml:space="preserve">g</m:t>
                      </m:r>
                    </m:sub>
                  </m:sSub>
                </m:den>
              </m:f>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r>
              <w:rPr/>
              <w:t>(</w:t>
            </w:r>
            <w:r>
              <w:rPr/>
              <w:fldChar w:fldCharType="begin"/>
            </w:r>
            <w:r>
              <w:rPr/>
              <w:instrText> SEQ Формула \* ARABIC </w:instrText>
            </w:r>
            <w:r>
              <w:rPr/>
              <w:fldChar w:fldCharType="separate"/>
            </w:r>
            <w:r>
              <w:rPr/>
              <w:t>7</w:t>
            </w:r>
            <w:r>
              <w:rPr/>
              <w:fldChar w:fldCharType="end"/>
            </w:r>
            <w:r>
              <w:rPr/>
              <w:t>)</w:t>
            </w:r>
          </w:p>
        </w:tc>
      </w:tr>
    </w:tbl>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Для расчёта удельного расхода тепловой энергии используются данные, доступные по 69 из 859 электростанций, находящихся на территории РФ:  </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tbl>
      <w:tblPr>
        <w:tblW w:w="9651" w:type="dxa"/>
        <w:jc w:val="center"/>
        <w:tblInd w:w="0" w:type="dxa"/>
        <w:tblCellMar>
          <w:top w:w="0" w:type="dxa"/>
          <w:left w:w="108" w:type="dxa"/>
          <w:bottom w:w="0" w:type="dxa"/>
          <w:right w:w="108" w:type="dxa"/>
        </w:tblCellMar>
        <w:tblLook w:val="01e0" w:noVBand="0" w:noHBand="0" w:lastColumn="1" w:firstColumn="1" w:lastRow="1" w:firstRow="1"/>
      </w:tblPr>
      <w:tblGrid>
        <w:gridCol w:w="8747"/>
        <w:gridCol w:w="903"/>
      </w:tblGrid>
      <w:tr>
        <w:trPr/>
        <w:tc>
          <w:tcPr>
            <w:tcW w:w="8747" w:type="dxa"/>
            <w:tcBorders/>
            <w:shd w:fill="auto" w:val="clear"/>
            <w:vAlign w:val="center"/>
          </w:tcPr>
          <w:p>
            <w:pPr>
              <w:pStyle w:val="Normal"/>
              <w:spacing w:lineRule="auto" w:line="360" w:before="120" w:after="120"/>
              <w:ind w:hanging="0"/>
              <w:contextualSpacing/>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ϑ</m:t>
              </m:r>
              <m:r>
                <w:rPr>
                  <w:rFonts w:ascii="Cambria Math" w:hAnsi="Cambria Math"/>
                </w:rPr>
                <m:t xml:space="preserve">,</m:t>
              </m:r>
            </m:oMath>
          </w:p>
        </w:tc>
        <w:tc>
          <w:tcPr>
            <w:tcW w:w="903" w:type="dxa"/>
            <w:tcBorders/>
            <w:shd w:fill="auto" w:val="clear"/>
            <w:vAlign w:val="center"/>
          </w:tcPr>
          <w:p>
            <w:pPr>
              <w:pStyle w:val="Normal"/>
              <w:spacing w:lineRule="auto" w:line="360" w:before="120" w:after="120"/>
              <w:ind w:hanging="0"/>
              <w:contextualSpacing/>
              <w:jc w:val="center"/>
              <w:rPr/>
            </w:pPr>
            <w:r>
              <w:rPr/>
              <w:t>(</w:t>
            </w:r>
            <w:r>
              <w:rPr/>
              <w:fldChar w:fldCharType="begin"/>
            </w:r>
            <w:r>
              <w:rPr/>
              <w:instrText> SEQ Формула \* ARABIC </w:instrText>
            </w:r>
            <w:r>
              <w:rPr/>
              <w:fldChar w:fldCharType="separate"/>
            </w:r>
            <w:r>
              <w:rPr/>
              <w:t>8</w:t>
            </w:r>
            <w:r>
              <w:rPr/>
              <w:fldChar w:fldCharType="end"/>
            </w:r>
            <w:r>
              <w:rPr/>
              <w:t>)</w:t>
            </w:r>
          </w:p>
        </w:tc>
      </w:tr>
    </w:tbl>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ind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где </w:t>
      </w:r>
      <w:r>
        <w:rPr/>
      </w:r>
      <m:oMath xmlns:m="http://schemas.openxmlformats.org/officeDocument/2006/math">
        <m:r>
          <w:rPr>
            <w:rFonts w:ascii="Cambria Math" w:hAnsi="Cambria Math"/>
          </w:rPr>
          <m:t xml:space="preserve">h</m:t>
        </m:r>
      </m:oMath>
      <w:r>
        <w:rPr>
          <w:rFonts w:cs="Times New Roman" w:ascii="Times New Roman" w:hAnsi="Times New Roman"/>
          <w:sz w:val="24"/>
          <w:szCs w:val="24"/>
        </w:rPr>
        <w:t xml:space="preserve"> – удельный расход тепловой энергии, Гкал/МВт*ч, </w:t>
      </w:r>
      <w:r>
        <w:rPr/>
      </w:r>
      <m:oMath xmlns:m="http://schemas.openxmlformats.org/officeDocument/2006/math">
        <m:r>
          <w:rPr>
            <w:rFonts w:ascii="Cambria Math" w:hAnsi="Cambria Math"/>
          </w:rPr>
          <m:t xml:space="preserve">λ</m:t>
        </m:r>
      </m:oMath>
      <w:r>
        <w:rPr>
          <w:rFonts w:cs="Times New Roman" w:ascii="Times New Roman" w:hAnsi="Times New Roman"/>
        </w:rPr>
        <w:t xml:space="preserve">=7000 </w:t>
      </w:r>
      <w:r>
        <w:rPr>
          <w:rFonts w:cs="Times New Roman" w:ascii="Times New Roman" w:hAnsi="Times New Roman"/>
          <w:sz w:val="24"/>
          <w:szCs w:val="24"/>
        </w:rPr>
        <w:t xml:space="preserve">ккал/кг – удельная теплота сгорания условного топлива, </w:t>
      </w:r>
      <w:r>
        <w:rPr/>
      </w:r>
      <m:oMath xmlns:m="http://schemas.openxmlformats.org/officeDocument/2006/math">
        <m:r>
          <w:rPr>
            <w:rFonts w:ascii="Cambria Math" w:hAnsi="Cambria Math"/>
          </w:rPr>
          <m:t xml:space="preserve">ϑ</m:t>
        </m:r>
      </m:oMath>
      <w:r>
        <w:rPr>
          <w:rFonts w:cs="Times New Roman" w:ascii="Times New Roman" w:hAnsi="Times New Roman"/>
          <w:sz w:val="24"/>
          <w:szCs w:val="24"/>
        </w:rPr>
        <w:t xml:space="preserve"> – удельный расход условного топлива, г/квт*ч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rFonts w:cs="Times New Roman" w:ascii="Times New Roman" w:hAnsi="Times New Roman"/>
          <w:sz w:val="24"/>
          <w:szCs w:val="24"/>
        </w:rPr>
        <w:t xml:space="preserve">. </w:t>
      </w:r>
    </w:p>
    <w:p>
      <w:pPr>
        <w:pStyle w:val="Normal"/>
        <w:spacing w:lineRule="auto" w:line="360" w:before="120" w:after="120"/>
        <w:contextualSpacing/>
        <w:jc w:val="both"/>
        <w:rPr/>
      </w:pPr>
      <w:r>
        <w:rPr>
          <w:rFonts w:cs="Times New Roman" w:ascii="Times New Roman" w:hAnsi="Times New Roman"/>
          <w:sz w:val="24"/>
          <w:szCs w:val="24"/>
        </w:rPr>
        <w:t>По имеющимся данным показатель рассчитан за каждый год с 2012 по 2019 для 32 электростанций. В среднем по России в 2019 году спарк-спред составил 2888,5, что в 2,4 раза выше, чем в 2010 году, при этом значение спарк-спреда увеличивалось от года к году. Значения спарк-спреда для Сибирского ФО и Уральского ФО были ниже, чем для других округов на протяжении всего периода. Значение спарк-спреда в среднем по электростанциям Южного ФО были выше, чем в других округах во всех периодах, кроме 2019, когда показатель был максимальным для Северо-Западного ФО. Причем именно в Северо-Западном ФО наблюдался самый резкий рост показателя – с 2012 года он увеличился примерно в 3,5 раза. .</w:t>
      </w:r>
      <w:r>
        <w:rPr>
          <w:rFonts w:eastAsia="Times New Roman" w:cs="Times New Roman" w:ascii="Times New Roman" w:hAnsi="Times New Roman"/>
          <w:sz w:val="24"/>
          <w:szCs w:val="24"/>
          <w:highlight w:val="yellow"/>
        </w:rPr>
        <w:t xml:space="preserve"> //ОТРАЗИТЬ ПОКАЗАТЕЛИ НА РЕГИОНАЛЬНОЙ КАРТЕ</w:t>
      </w:r>
      <w:r>
        <w:rPr>
          <w:rFonts w:eastAsia="Times New Roman" w:cs="Times New Roman" w:ascii="Times New Roman" w:hAnsi="Times New Roman"/>
          <w:sz w:val="24"/>
          <w:szCs w:val="24"/>
        </w:rPr>
        <w:t>.</w:t>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20" w:after="120"/>
        <w:contextualSpacing/>
        <w:jc w:val="both"/>
        <w:rPr/>
      </w:pPr>
      <w:r>
        <w:rPr/>
      </w:r>
    </w:p>
    <w:p>
      <w:pPr>
        <w:pStyle w:val="Normal"/>
        <w:spacing w:lineRule="auto" w:line="360" w:before="0" w:after="0"/>
        <w:contextual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ind w:firstLine="567"/>
      <w:jc w:val="left"/>
    </w:pPr>
    <w:rPr>
      <w:rFonts w:ascii="Calibri" w:hAnsi="Calibri" w:eastAsia="Calibri" w:cs="DejaVu Sans"/>
      <w:color w:val="auto"/>
      <w:kern w:val="0"/>
      <w:sz w:val="22"/>
      <w:szCs w:val="22"/>
      <w:lang w:val="ru-RU" w:eastAsia="en-US" w:bidi="ar-SA"/>
    </w:rPr>
  </w:style>
  <w:style w:type="paragraph" w:styleId="Heading1">
    <w:name w:val="Heading 1"/>
    <w:basedOn w:val="Heading"/>
    <w:next w:val="TextBody"/>
    <w:link w:val="10"/>
    <w:uiPriority w:val="9"/>
    <w:qFormat/>
    <w:pPr>
      <w:numPr>
        <w:ilvl w:val="0"/>
        <w:numId w:val="1"/>
      </w:numPr>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004e9"/>
    <w:rPr>
      <w:color w:val="0000FF"/>
      <w:u w:val="single"/>
    </w:rPr>
  </w:style>
  <w:style w:type="character" w:styleId="ListLabel1" w:customStyle="1">
    <w:name w:val="ListLabel 1"/>
    <w:qFormat/>
    <w:rPr>
      <w:rFonts w:ascii="Times New Roman" w:hAnsi="Times New Roman" w:cs="Times New Roman"/>
      <w:sz w:val="24"/>
      <w:szCs w:val="24"/>
    </w:rPr>
  </w:style>
  <w:style w:type="character" w:styleId="Emphasis">
    <w:name w:val="Emphasis"/>
    <w:qFormat/>
    <w:rPr>
      <w:i/>
      <w:iC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ascii="Times New Roman" w:hAnsi="Times New Roman" w:cs="Times New Roman"/>
      <w:sz w:val="24"/>
      <w:szCs w:val="24"/>
    </w:rPr>
  </w:style>
  <w:style w:type="character" w:styleId="ListLabel12" w:customStyle="1">
    <w:name w:val="ListLabel 12"/>
    <w:qFormat/>
    <w:rPr>
      <w:rFonts w:ascii="Times New Roman" w:hAnsi="Times New Roman" w:cs="Times New Roman"/>
      <w:b w:val="false"/>
      <w:i w:val="false"/>
      <w:caps w:val="false"/>
      <w:smallCaps w:val="false"/>
      <w:sz w:val="24"/>
      <w:szCs w:val="24"/>
      <w:u w:val="single"/>
    </w:rPr>
  </w:style>
  <w:style w:type="character" w:styleId="ListLabel13" w:customStyle="1">
    <w:name w:val="ListLabel 13"/>
    <w:qFormat/>
    <w:rPr>
      <w:rFonts w:ascii="Times New Roman" w:hAnsi="Times New Roman" w:cs="Times New Roman"/>
      <w:b w:val="false"/>
      <w:i w:val="false"/>
      <w:caps w:val="false"/>
      <w:smallCaps w:val="false"/>
      <w:color w:val="000000"/>
      <w:sz w:val="24"/>
      <w:szCs w:val="24"/>
    </w:rPr>
  </w:style>
  <w:style w:type="character" w:styleId="ListLabel14" w:customStyle="1">
    <w:name w:val="ListLabel 14"/>
    <w:qFormat/>
    <w:rPr>
      <w:rFonts w:ascii="Times New Roman" w:hAnsi="Times New Roman" w:cs="Times New Roman"/>
      <w:b w:val="false"/>
      <w:i w:val="false"/>
      <w:caps w:val="false"/>
      <w:smallCaps w:val="false"/>
      <w:color w:val="000000"/>
      <w:sz w:val="24"/>
      <w:szCs w:val="24"/>
      <w:u w:val="single"/>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ListLabel24" w:customStyle="1">
    <w:name w:val="ListLabel 24"/>
    <w:qFormat/>
    <w:rPr>
      <w:rFonts w:cs="OpenSymbol"/>
      <w:sz w:val="24"/>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ascii="Times New Roman" w:hAnsi="Times New Roman" w:eastAsia="Times New Roman" w:cs="Times New Roman"/>
      <w:sz w:val="24"/>
      <w:szCs w:val="24"/>
      <w:lang w:val="ru-RU"/>
    </w:rPr>
  </w:style>
  <w:style w:type="character" w:styleId="PlaceholderText">
    <w:name w:val="Placeholder Text"/>
    <w:basedOn w:val="DefaultParagraphFont"/>
    <w:uiPriority w:val="99"/>
    <w:semiHidden/>
    <w:qFormat/>
    <w:rsid w:val="00482a90"/>
    <w:rPr>
      <w:color w:val="808080"/>
    </w:rPr>
  </w:style>
  <w:style w:type="character" w:styleId="1" w:customStyle="1">
    <w:name w:val="Заголовок 1 Знак"/>
    <w:basedOn w:val="DefaultParagraphFont"/>
    <w:link w:val="1"/>
    <w:uiPriority w:val="9"/>
    <w:qFormat/>
    <w:rsid w:val="00b607b5"/>
    <w:rPr>
      <w:rFonts w:ascii="Liberation Serif" w:hAnsi="Liberation Serif" w:eastAsia="DejaVu Sans"/>
      <w:b/>
      <w:bCs/>
      <w:sz w:val="48"/>
      <w:szCs w:val="48"/>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highlight w:val="yellow"/>
    </w:rPr>
  </w:style>
  <w:style w:type="character" w:styleId="ListLabel61">
    <w:name w:val="ListLabel 61"/>
    <w:qFormat/>
    <w:rPr>
      <w:rFonts w:ascii="Times New Roman" w:hAnsi="Times New Roman" w:cs="Times New Roman"/>
      <w:sz w:val="24"/>
      <w:szCs w:val="24"/>
      <w:highlight w:val="yellow"/>
    </w:rPr>
  </w:style>
  <w:style w:type="character" w:styleId="ListLabel62">
    <w:name w:val="ListLabel 62"/>
    <w:qFormat/>
    <w:rPr>
      <w:rFonts w:ascii="Times New Roman" w:hAnsi="Times New Roman" w:cs="Times New Roman"/>
      <w:sz w:val="24"/>
      <w:szCs w:val="24"/>
      <w:highlight w:val="yellow"/>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tabs>
        <w:tab w:val="clear" w:pos="408"/>
        <w:tab w:val="center" w:pos="4680" w:leader="none"/>
        <w:tab w:val="right" w:pos="9360" w:leader="none"/>
      </w:tabs>
    </w:pPr>
    <w:rPr/>
  </w:style>
  <w:style w:type="paragraph" w:styleId="Footer">
    <w:name w:val="Footer"/>
    <w:basedOn w:val="Normal"/>
    <w:pPr>
      <w:tabs>
        <w:tab w:val="clear" w:pos="408"/>
        <w:tab w:val="center" w:pos="4680" w:leader="none"/>
        <w:tab w:val="right" w:pos="9360" w:leader="none"/>
      </w:tabs>
    </w:pPr>
    <w:rPr/>
  </w:style>
  <w:style w:type="paragraph" w:styleId="ListParagraph">
    <w:name w:val="List Paragraph"/>
    <w:basedOn w:val="Normal"/>
    <w:uiPriority w:val="34"/>
    <w:qFormat/>
    <w:rsid w:val="000d073b"/>
    <w:pPr>
      <w:spacing w:before="0" w:after="0"/>
      <w:ind w:left="720" w:firstLine="567"/>
      <w:contextualSpacing/>
    </w:pPr>
    <w:rPr/>
  </w:style>
  <w:style w:type="paragraph" w:styleId="Bibliography">
    <w:name w:val="Bibliography"/>
    <w:basedOn w:val="Normal"/>
    <w:next w:val="Normal"/>
    <w:uiPriority w:val="37"/>
    <w:unhideWhenUsed/>
    <w:qFormat/>
    <w:rsid w:val="00b607b5"/>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leninka.ru/article/n/nalogovyy-manevr-v-neftyanoy-otrasli" TargetMode="External"/><Relationship Id="rId3" Type="http://schemas.openxmlformats.org/officeDocument/2006/relationships/hyperlink" Target="https://cyberleninka.ru/article/n/nalogovyy-manevr-v-neftyanoy-otrasli-blagopriyatnyy-moment-dlya-zaversheniya" TargetMode="External"/><Relationship Id="rId4" Type="http://schemas.openxmlformats.org/officeDocument/2006/relationships/hyperlink" Target="https://cyberleninka.ru/article/n/nalogovyi-manevr-v-neftyanoi-otrasli-riski-ruchnogo-regulirovaniya" TargetMode="External"/><Relationship Id="rId5" Type="http://schemas.openxmlformats.org/officeDocument/2006/relationships/hyperlink" Target="https://cyberleninka.ru/article/n/zamorozka-tsen-na-nefteprodukty-ostanovka-nalogovogo-manevra" TargetMode="External"/><Relationship Id="rId6" Type="http://schemas.openxmlformats.org/officeDocument/2006/relationships/hyperlink" Target="https://www.datawrapper.de/" TargetMode="External"/><Relationship Id="rId7" Type="http://schemas.openxmlformats.org/officeDocument/2006/relationships/hyperlink" Target="https://cyberleninka.ru/article/n/zamorozka-tsen-na-nefteprodukty-ostanovka-nalogovogo-manevr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Глу19</b:Tag>
    <b:SourceType>DocumentFromInternetSite</b:SourceType>
    <b:Guid>{868FC847-8C84-4A78-967E-4CDF4E41F043}</b:Guid>
    <b:Title>Глубина переработки нефтяного сырья</b:Title>
    <b:Year>2019</b:Year>
    <b:InternetSiteTitle>Росстат</b:InternetSiteTitle>
    <b:Month>08</b:Month>
    <b:Day>24</b:Day>
    <b:URL>http://www.gks.ru/free_doc/new_site/effect/2-1-9.xls</b:URL>
    <b:RefOrder>1</b:RefOrder>
  </b:Source>
  <b:Source>
    <b:Tag>ОВи18</b:Tag>
    <b:SourceType>JournalArticle</b:SourceType>
    <b:Guid>{72507C7E-3B33-4596-9530-F093FF59A248}</b:Guid>
    <b:Author>
      <b:Author>
        <b:NameList>
          <b:Person>
            <b:Last>Виноградова</b:Last>
            <b:First>О.</b:First>
          </b:Person>
        </b:NameList>
      </b:Author>
    </b:Author>
    <b:Title>Нефть-2017: итоги, тенденции. прогнозы</b:Title>
    <b:JournalName>Нефтгазовая Вертикаль</b:JournalName>
    <b:Year>2018</b:Year>
    <b:Issue>4</b:Issue>
    <b:RefOrder>3</b:RefOrder>
  </b:Source>
  <b:Source>
    <b:Tag>ААМ19</b:Tag>
    <b:SourceType>JournalArticle</b:SourceType>
    <b:Guid>{093C9C07-CC48-405D-8157-5FDA430A1B32}</b:Guid>
    <b:Title>Прогноз развития энергетики мира и России 2019</b:Title>
    <b:Year>2019</b:Year>
    <b:Author>
      <b:Author>
        <b:NameList>
          <b:Person>
            <b:Last>А.А. Макарова</b:Last>
            <b:First>Т.А.</b:First>
            <b:Middle>Митровой, В.А. Кулагина</b:Middle>
          </b:Person>
        </b:NameList>
      </b:Author>
    </b:Author>
    <b:JournalName>ИНЭИ РАН–Московская школа управления СКОЛКОВО</b:JournalName>
    <b:Pages>210</b:Pages>
    <b:RefOrder>2</b:RefOrder>
  </b:Source>
  <b:Source>
    <b:Tag>НАК91</b:Tag>
    <b:SourceType>JournalArticle</b:SourceType>
    <b:Guid>{841CB63D-C47E-4F33-A8E9-C46AC5FA2B36}</b:Guid>
    <b:Author>
      <b:Author>
        <b:NameList>
          <b:Person>
            <b:Last>Крылов</b:Last>
            <b:First>Н.А.</b:First>
          </b:Person>
        </b:NameList>
      </b:Author>
    </b:Author>
    <b:Title>О возможности использования показателя кратности запасов нефти при планировании добычи и ГРР</b:Title>
    <b:JournalName>Геология нефти и газа</b:JournalName>
    <b:Year>1991</b:Year>
    <b:Issue>4</b:Issue>
    <b:RefOrder>4</b:RefOrder>
  </b:Source>
  <b:Source>
    <b:Tag>ЛВЭ18</b:Tag>
    <b:SourceType>JournalArticle</b:SourceType>
    <b:Guid>{AAD2E6E5-8702-4B6E-9B6E-77EE02EE01F5}</b:Guid>
    <b:Author>
      <b:Author>
        <b:NameList>
          <b:Person>
            <b:Last>Л.В. Эдер</b:Last>
            <b:First>И.В.</b:First>
            <b:Middle>Филимонова, В.Ю. Немов, И.В. Проворная, М.В. Мишенин и др.</b:Middle>
          </b:Person>
        </b:NameList>
      </b:Author>
    </b:Author>
    <b:Title>Нефтегазовый комплекс России – 2017</b:Title>
    <b:JournalName>Новосибирск: ИНГГ СО РАН</b:JournalName>
    <b:Year>2018</b:Year>
    <b:Pages>86</b:Pages>
    <b:RefOrder>9</b:RefOrder>
  </b:Source>
  <b:Source>
    <b:Tag>БТи18</b:Tag>
    <b:SourceType>JournalArticle</b:SourceType>
    <b:Guid>{A7FFDE76-0C3C-453D-BDBA-03C6D78012AC}</b:Guid>
    <b:Author>
      <b:Author>
        <b:NameList>
          <b:Person>
            <b:Last>Титов</b:Last>
            <b:First>Б.</b:First>
          </b:Person>
        </b:NameList>
      </b:Author>
    </b:Author>
    <b:Title>ЗАВИСИМОСТЬ РОССИЙСКОЙ ЭКОНОМИКИ И БЮДЖЕТА ОТ НЕФТИ</b:Title>
    <b:JournalName>Институт экономики роста им. Столыпина</b:JournalName>
    <b:Year>2018</b:Year>
    <b:Issue>1</b:Issue>
    <b:RefOrder>10</b:RefOrder>
  </b:Source>
  <b:Source>
    <b:Tag>ГСК16</b:Tag>
    <b:SourceType>JournalArticle</b:SourceType>
    <b:Guid>{0D9AA543-58E7-465D-8118-0D2550427BA8}</b:Guid>
    <b:Author>
      <b:Author>
        <b:NameList>
          <b:Person>
            <b:Last>Карибекова</b:Last>
            <b:First>Г.С.</b:First>
          </b:Person>
        </b:NameList>
      </b:Author>
    </b:Author>
    <b:Title> Визуализация данных, характеризующих налоговую культуру в нефтегазовом секторе </b:Title>
    <b:JournalName>Мониторинг общественного мнения :Экономические и социальные</b:JournalName>
    <b:Year>2016</b:Year>
    <b:Pages>183-195</b:Pages>
    <b:Issue>4</b:Issue>
    <b:RefOrder>14</b:RefOrder>
  </b:Source>
  <b:Source>
    <b:Tag>Осн19</b:Tag>
    <b:SourceType>DocumentFromInternetSite</b:SourceType>
    <b:Guid>{3258DC37-8E28-4B89-B605-F1B50850CFF7}</b:Guid>
    <b:Title>Основные направления налоговой политики Российской Федерации на 2016 год и плановый период 2017 и 2018 годов</b:Title>
    <b:InternetSiteTitle>КонсультантПлюс</b:InternetSiteTitle>
    <b:YearAccessed>2019</b:YearAccessed>
    <b:MonthAccessed>08</b:MonthAccessed>
    <b:DayAccessed>20</b:DayAccessed>
    <b:URL>http://www.consultant.ru/document/cons_doc_LAW_183748/</b:URL>
    <b:RefOrder>15</b:RefOrder>
  </b:Source>
  <b:Source>
    <b:Tag>ЦБР18</b:Tag>
    <b:SourceType>JournalArticle</b:SourceType>
    <b:Guid>{E5E03527-FAE5-4D86-9E2D-B205B67BFCD5}</b:Guid>
    <b:Title>Об оценке влияния налогового маневра в нефтяной сфере на потребительскую инфляцию</b:Title>
    <b:Year>2018</b:Year>
    <b:Author>
      <b:Author>
        <b:NameList>
          <b:Person>
            <b:Last>Федерации</b:Last>
            <b:First>ЦБ</b:First>
            <b:Middle>Российской</b:Middle>
          </b:Person>
        </b:NameList>
      </b:Author>
    </b:Author>
    <b:JournalName>Банк России</b:JournalName>
    <b:RefOrder>16</b:RefOrder>
  </b:Source>
  <b:Source>
    <b:Tag>ИВФ17</b:Tag>
    <b:SourceType>JournalArticle</b:SourceType>
    <b:Guid>{FA46D630-0C09-4ACC-BBD3-FFC592BD698D}</b:Guid>
    <b:Author>
      <b:Author>
        <b:NameList>
          <b:Person>
            <b:Last>Филимонова</b:Last>
            <b:First>И.</b:First>
            <b:Middle>В.</b:Middle>
          </b:Person>
        </b:NameList>
      </b:Author>
    </b:Author>
    <b:Title>Воспроизводство минерально-сырьевой базы нефтегазового комплекса России</b:Title>
    <b:JournalName>Интерэкспо Гео-Сибирь</b:JournalName>
    <b:Year>2017</b:Year>
    <b:RefOrder>17</b:RefOrder>
  </b:Source>
  <b:Source>
    <b:Tag>Мин18</b:Tag>
    <b:SourceType>Book</b:SourceType>
    <b:Guid>{8F864B22-BAB4-44CD-82AC-A5C67DC549A7}</b:Guid>
    <b:Title>О состоянии и использовании минерально-сырьевых ресурсов Российской Федерации в 2016 и 2017 годах</b:Title>
    <b:Year>2018</b:Year>
    <b:Author>
      <b:Author>
        <b:NameList>
          <b:Person>
            <b:Last>РФ</b:Last>
            <b:First>Министерство</b:First>
            <b:Middle>природных ресурсов и экологии</b:Middle>
          </b:Person>
        </b:NameList>
      </b:Author>
    </b:Author>
    <b:Publisher>Государственный доклад</b:Publisher>
    <b:RefOrder>5</b:RefOrder>
  </b:Source>
  <b:Source>
    <b:Tag>Эко19</b:Tag>
    <b:SourceType>InternetSite</b:SourceType>
    <b:Guid>{984D32B7-30F9-4896-9373-FF87FDD6DA4E}</b:Guid>
    <b:InternetSiteTitle>Экологический паспорт Омской области</b:InternetSiteTitle>
    <b:YearAccessed>2019</b:YearAccessed>
    <b:MonthAccessed>08</b:MonthAccessed>
    <b:DayAccessed>15</b:DayAccessed>
    <b:URL>http://mpr.omskportal.ru/ru/RegionalPublicAuthorities/executivelist/MPR/pravaya-kolonka/ecopasport</b:URL>
    <b:RefOrder>6</b:RefOrder>
  </b:Source>
  <b:Source>
    <b:Tag>Пра19</b:Tag>
    <b:SourceType>InternetSite</b:SourceType>
    <b:Guid>{C71F7048-7109-4DFC-A6AE-E16C14295500}</b:Guid>
    <b:InternetSiteTitle>Правительство Калининградской области: Природные ресурсы. </b:InternetSiteTitle>
    <b:YearAccessed>2019</b:YearAccessed>
    <b:MonthAccessed>08</b:MonthAccessed>
    <b:DayAccessed>15</b:DayAccessed>
    <b:URL>https://gov39.ru/region/natural.php</b:URL>
    <b:RefOrder>7</b:RefOrder>
  </b:Source>
  <b:Source>
    <b:Tag>Фед19</b:Tag>
    <b:SourceType>InternetSite</b:SourceType>
    <b:Guid>{5C018969-93E0-4DF8-8518-26F40F98BAE7}</b:Guid>
    <b:InternetSiteTitle>Федеральная Налоговая Служба</b:InternetSiteTitle>
    <b:YearAccessed>2019</b:YearAccessed>
    <b:MonthAccessed>08</b:MonthAccessed>
    <b:DayAccessed>01</b:DayAccessed>
    <b:URL>https://www.nalog.ru/rn77/</b:URL>
    <b:RefOrder>8</b:RefOrder>
  </b:Source>
  <b:Source>
    <b:Tag>ЦБС19</b:Tag>
    <b:SourceType>InternetSite</b:SourceType>
    <b:Guid>{0CACC6A3-3A0D-42F3-BEB6-8A43E44E2993}</b:Guid>
    <b:InternetSiteTitle>Центральная база статистических данных </b:InternetSiteTitle>
    <b:YearAccessed>2019</b:YearAccessed>
    <b:MonthAccessed>20</b:MonthAccessed>
    <b:DayAccessed>08</b:DayAccessed>
    <b:URL>http://cbsd.gks.ru/</b:URL>
    <b:RefOrder>12</b:RefOrder>
  </b:Source>
  <b:Source>
    <b:Tag>РЕГ13</b:Tag>
    <b:SourceType>InternetSite</b:SourceType>
    <b:Guid>{B4F0F161-EECB-4573-9A4C-4ADC00CBC44F}</b:Guid>
    <b:InternetSiteTitle>РЕГИОНАЛЬНЫЕ ОПТОВЫЕ ЦЕНЫ НА ОСНОВНЫЕ НЕФТЕПРОДУКТЫ</b:InternetSiteTitle>
    <b:Year>2013</b:Year>
    <b:YearAccessed>2019</b:YearAccessed>
    <b:MonthAccessed>08</b:MonthAccessed>
    <b:DayAccessed>20</b:DayAccessed>
    <b:URL>http://www.kortes.com/products/pdf/reg.pdf</b:URL>
    <b:RefOrder>13</b:RefOrder>
  </b:Source>
  <b:Source>
    <b:Tag>ФНС19</b:Tag>
    <b:SourceType>InternetSite</b:SourceType>
    <b:Guid>{6D083E84-34AA-4768-B247-447CE0A6B825}</b:Guid>
    <b:InternetSiteTitle>ФАС: Паспорт набора данных "Интерактивная карта цен на нефтепродукты в России"</b:InternetSiteTitle>
    <b:YearAccessed>2019</b:YearAccessed>
    <b:MonthAccessed>08</b:MonthAccessed>
    <b:DayAccessed>20</b:DayAccessed>
    <b:URL>http://fas.gov.ru/opendata/7703516539-petrolpricesmap</b:URL>
    <b:RefOrder>11</b:RefOrder>
  </b:Source>
  <b:Source>
    <b:Tag>Обу18</b:Tag>
    <b:SourceType>DocumentFromInternetSite</b:SourceType>
    <b:Guid>{46236FC2-4A1A-4024-9A7A-E6F8EF99409F}</b:Guid>
    <b:InternetSiteTitle>КонсультантПлюс</b:InternetSiteTitle>
    <b:Year>2018</b:Year>
    <b:YearAccessed>2019</b:YearAccessed>
    <b:MonthAccessed>08</b:MonthAccessed>
    <b:DayAccessed>19</b:DayAccessed>
    <b:URL>http://www.consultant.ru/document/cons_doc_LAW_304650/</b:URL>
    <b:Title>Об утверждении оптовых цен на газ, добываемый ПАО «Газпром» и его аффилированными лицами, реализуемый потребителям Российской Федерации (кроме населения)</b:Title>
    <b:RefOrder>18</b:RefOrder>
  </b:Source>
</b:Sources>
</file>

<file path=customXml/itemProps1.xml><?xml version="1.0" encoding="utf-8"?>
<ds:datastoreItem xmlns:ds="http://schemas.openxmlformats.org/officeDocument/2006/customXml" ds:itemID="{16DA90B9-E770-447B-A550-164DBC31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LibreOffice/6.2.6.2$Linux_X86_64 LibreOffice_project/20$Build-2</Application>
  <Pages>15</Pages>
  <Words>4178</Words>
  <Characters>26131</Characters>
  <CharactersWithSpaces>30309</CharactersWithSpaces>
  <Paragraphs>112</Paragraphs>
  <Company>SRV-CM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2019-09-06T09:40:00Z</dcterms:created>
  <dc:creator>Миллер Евгения Михайловна</dc:creator>
  <dc:description/>
  <dc:language>en-US</dc:language>
  <cp:lastModifiedBy/>
  <dcterms:modified xsi:type="dcterms:W3CDTF">2019-09-10T19:42:56Z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SRV-CM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