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Анализ детерминантов сбережений домашних хозяйств в РФ на региональном уровне</w:t>
      </w:r>
    </w:p>
    <w:p>
      <w:pPr>
        <w:sectPr>
          <w:type w:val="nextPage"/>
          <w:pgSz w:w="11906" w:h="16838"/>
          <w:pgMar w:left="1701" w:right="851" w:header="0" w:top="1134" w:footer="0" w:bottom="1134" w:gutter="0"/>
          <w:pgNumType w:start="2"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Содержание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Введение</w:t>
        <w:tab/>
      </w:r>
      <w:r>
        <w:rPr>
          <w:rFonts w:cs="Times New Roman" w:ascii="Times New Roman" w:hAnsi="Times New Roman"/>
          <w:sz w:val="28"/>
          <w:szCs w:val="28"/>
        </w:rPr>
        <w:t>4</w:t>
      </w:r>
    </w:p>
    <w:p>
      <w:pPr>
        <w:pStyle w:val="Normal"/>
        <w:tabs>
          <w:tab w:val="clear" w:pos="408"/>
          <w:tab w:val="decimal" w:pos="9367" w:leader="dot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Глава 1. Спецификация модели</w:t>
        <w:tab/>
      </w:r>
      <w:r>
        <w:rPr>
          <w:rFonts w:cs="Times New Roman" w:ascii="Times New Roman" w:hAnsi="Times New Roman"/>
          <w:sz w:val="28"/>
          <w:szCs w:val="28"/>
        </w:rPr>
        <w:t>6</w:t>
      </w:r>
    </w:p>
    <w:p>
      <w:pPr>
        <w:pStyle w:val="Normal"/>
        <w:tabs>
          <w:tab w:val="clear" w:pos="408"/>
          <w:tab w:val="decimal" w:pos="9367" w:leader="dot"/>
        </w:tabs>
        <w:spacing w:lineRule="auto" w:line="360" w:before="0" w:after="0"/>
        <w:ind w:left="0" w:right="0" w:firstLine="35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1.1 Обоснование модели и сбор данных</w:t>
        <w:tab/>
      </w:r>
      <w:r>
        <w:rPr>
          <w:rFonts w:cs="Times New Roman" w:ascii="Times New Roman" w:hAnsi="Times New Roman"/>
          <w:sz w:val="28"/>
          <w:szCs w:val="28"/>
        </w:rPr>
        <w:t>6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357"/>
        <w:jc w:val="both"/>
        <w:rPr/>
      </w:pPr>
      <w:bookmarkStart w:id="0" w:name="_Hlk533186162"/>
      <w:r>
        <w:rPr>
          <w:rFonts w:cs="Times New Roman" w:ascii="Times New Roman" w:hAnsi="Times New Roman"/>
          <w:sz w:val="28"/>
          <w:szCs w:val="28"/>
        </w:rPr>
        <w:t>1.2 А</w:t>
      </w:r>
      <w:r>
        <w:rPr>
          <w:rFonts w:cs="Times New Roman" w:ascii="Times New Roman" w:hAnsi="Times New Roman"/>
          <w:sz w:val="28"/>
          <w:szCs w:val="28"/>
        </w:rPr>
        <w:t xml:space="preserve">нализ </w:t>
      </w:r>
      <w:r>
        <w:rPr>
          <w:rFonts w:cs="Times New Roman" w:ascii="Times New Roman" w:hAnsi="Times New Roman"/>
          <w:sz w:val="28"/>
          <w:szCs w:val="28"/>
        </w:rPr>
        <w:t>данных</w:t>
      </w:r>
      <w:bookmarkEnd w:id="0"/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Глава 2. Построение эконометрической модели</w:t>
        <w:tab/>
      </w:r>
      <w:r>
        <w:rPr>
          <w:rFonts w:cs="Times New Roman" w:ascii="Times New Roman" w:hAnsi="Times New Roman"/>
          <w:sz w:val="28"/>
          <w:szCs w:val="28"/>
        </w:rPr>
        <w:t>10</w:t>
      </w:r>
    </w:p>
    <w:p>
      <w:pPr>
        <w:pStyle w:val="Normal"/>
        <w:tabs>
          <w:tab w:val="clear" w:pos="408"/>
          <w:tab w:val="decimal" w:pos="9367" w:leader="dot"/>
        </w:tabs>
        <w:spacing w:lineRule="auto" w:line="360" w:before="0" w:after="0"/>
        <w:ind w:left="0" w:right="0" w:firstLine="35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2.1 Построение модели</w:t>
        <w:tab/>
      </w:r>
      <w:r>
        <w:rPr>
          <w:rFonts w:cs="Times New Roman" w:ascii="Times New Roman" w:hAnsi="Times New Roman"/>
          <w:sz w:val="28"/>
          <w:szCs w:val="28"/>
        </w:rPr>
        <w:t>10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357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2.2 Анализ эконометрической модели</w:t>
        <w:tab/>
        <w:t>1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Заключение</w:t>
        <w:tab/>
      </w:r>
      <w:r>
        <w:rPr>
          <w:rFonts w:cs="Times New Roman" w:ascii="Times New Roman" w:hAnsi="Times New Roman"/>
          <w:sz w:val="28"/>
          <w:szCs w:val="28"/>
        </w:rPr>
        <w:t>16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Список использованных источников</w:t>
        <w:tab/>
      </w:r>
      <w:r>
        <w:rPr>
          <w:rFonts w:cs="Times New Roman" w:ascii="Times New Roman" w:hAnsi="Times New Roman"/>
          <w:sz w:val="28"/>
          <w:szCs w:val="28"/>
        </w:rPr>
        <w:t>17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Приложения</w:t>
        <w:tab/>
      </w:r>
      <w:r>
        <w:rPr>
          <w:rFonts w:cs="Times New Roman" w:ascii="Times New Roman" w:hAnsi="Times New Roman"/>
          <w:sz w:val="28"/>
          <w:szCs w:val="28"/>
        </w:rPr>
        <w:t>18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Сбережения – это часть располагаемого дохода, которая предназначена для удовлетворения будущих потребностей. В данной работе подробно рассматриваются макроэкономические показатели влияющие на динамику сбережений в Российской Федерации, исследуются наиболее значимые из них.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Формирование сбережений домохозяйств изучается с использованием эконометрического моделирования, в частности, модели множественной линейной регрессии.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 xml:space="preserve">Данная модель продемонстрировала адекватность, стабильность. Наши результаты показали, что валовой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региональный продукт и индекс потребительских цен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 xml:space="preserve"> были наиболее значительными макроэкономическими детерминантами сбережений домашних хозяйств в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регионах РФ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lang w:eastAsia="ru-RU"/>
        </w:rPr>
        <w:t>Целью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 данной работы является построение регрессионной модели для выявления факторов,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 xml:space="preserve"> влияющих на динамику сбережений в Российской Федерации. </w:t>
      </w:r>
    </w:p>
    <w:p>
      <w:pPr>
        <w:pStyle w:val="Normal"/>
        <w:shd w:val="clear" w:fill="FFFFFF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Актуальность</w:t>
      </w:r>
      <w:r>
        <w:rPr>
          <w:rFonts w:cs="Times New Roman" w:ascii="Times New Roman" w:hAnsi="Times New Roman"/>
          <w:sz w:val="28"/>
          <w:szCs w:val="28"/>
        </w:rPr>
        <w:t xml:space="preserve"> исследования вытекает из необходимости определения факторов, влияющих на сбережения, поскольку стабильный рост экономики невозможен без масштабного привлечения инвестиционных ресурсов, одним из источников которых могут стать сбережения населения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Результаты исследования могут быть интересны для политиков, и предложенная модель может быть практически использована для прогнозирования сбережений в субъектах РФ.</w:t>
      </w:r>
    </w:p>
    <w:p>
      <w:pPr>
        <w:pStyle w:val="Normal"/>
        <w:shd w:val="clear" w:fill="FFFFFF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Задачи:</w:t>
      </w:r>
    </w:p>
    <w:p>
      <w:pPr>
        <w:pStyle w:val="ListParagraph"/>
        <w:numPr>
          <w:ilvl w:val="0"/>
          <w:numId w:val="3"/>
        </w:numPr>
        <w:shd w:val="clear" w:fill="FFFFFF"/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построение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eastAsia="ru-RU"/>
        </w:rPr>
        <w:t>модели множественной линейной регрессии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;</w:t>
      </w:r>
    </w:p>
    <w:p>
      <w:pPr>
        <w:pStyle w:val="ListParagraph"/>
        <w:numPr>
          <w:ilvl w:val="0"/>
          <w:numId w:val="3"/>
        </w:numPr>
        <w:shd w:val="clear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определение факторов, влияющих на сбережения;</w:t>
      </w:r>
    </w:p>
    <w:p>
      <w:pPr>
        <w:pStyle w:val="ListParagraph"/>
        <w:numPr>
          <w:ilvl w:val="0"/>
          <w:numId w:val="3"/>
        </w:numPr>
        <w:shd w:val="clear" w:fill="FFFFFF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bookmarkStart w:id="1" w:name="_Hlk533329876"/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анализ модели и проверка на адекватность </w:t>
      </w:r>
      <w:bookmarkEnd w:id="1"/>
    </w:p>
    <w:p>
      <w:pPr>
        <w:pStyle w:val="ListParagraph"/>
        <w:numPr>
          <w:ilvl w:val="0"/>
          <w:numId w:val="3"/>
        </w:numPr>
        <w:shd w:val="clear" w:fill="FFFFFF"/>
        <w:spacing w:lineRule="auto" w:line="36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проведение эконометрического моделирования с помощью 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 w:eastAsia="ru-RU"/>
        </w:rPr>
        <w:t>R</w:t>
      </w:r>
    </w:p>
    <w:p>
      <w:pPr>
        <w:pStyle w:val="Normal"/>
        <w:shd w:val="clear" w:fill="FFFFFF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lang w:eastAsia="ru-RU"/>
        </w:rPr>
        <w:t>Объектом исследования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 в данной работе является квартальные показатели сбережений РФ с 1995 по 2018.</w:t>
      </w:r>
    </w:p>
    <w:p>
      <w:pPr>
        <w:pStyle w:val="Normal"/>
        <w:shd w:val="clear" w:fill="FFFFFF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color w:val="333333"/>
          <w:sz w:val="28"/>
          <w:szCs w:val="28"/>
          <w:lang w:eastAsia="ru-RU"/>
        </w:rPr>
        <w:t>Предмет исследования.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 Анализ факторов влияющих на сбережения при помощи эконометрического моделирования.</w:t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Научный вклад исследований заключается в эмпирическом определении наиболее значимых макроэкономических показателей, влияющих на сбережения домашних хозяйств.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Теоретической и методологической базой исследования послужили </w:t>
      </w:r>
      <w:r>
        <w:rPr>
          <w:rFonts w:cs="Times New Roman" w:ascii="Times New Roman" w:hAnsi="Times New Roman"/>
          <w:sz w:val="28"/>
          <w:szCs w:val="28"/>
        </w:rPr>
        <w:t>данные, взятые из «Единого архива экономических и социологических данных» (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http://sophist.hse.ru/</w:t>
        </w:r>
      </w:hyperlink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) и Росстата.</w:t>
      </w:r>
    </w:p>
    <w:p>
      <w:pPr>
        <w:pStyle w:val="Normal"/>
        <w:shd w:val="clear" w:fill="FFFFFF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  <w:r>
        <w:br w:type="page"/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Глава 1. Спецификация модели</w:t>
      </w:r>
    </w:p>
    <w:p>
      <w:pPr>
        <w:pStyle w:val="Normal"/>
        <w:tabs>
          <w:tab w:val="clear" w:pos="408"/>
          <w:tab w:val="decimal" w:pos="9921" w:leader="dot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1.1 Обоснование модели и сбор данных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данной части работы мы выберем факторы, которые согласно теоретическим и эмпиричским исследованиям могут объяснять уровень сбережений домашних хозяйств.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оценки параметров модели будем использовать данные из «Единого архива экономических и социологических данных» (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http://sophist.hse.ru/</w:t>
        </w:r>
      </w:hyperlink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>) и Росстата.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Первая переменная - зависимая переменная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 xml:space="preserve">sav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- сбережения домашних хозяйств на душу населения в 2015 году на территории субъектов российской федерации (в текущих рыночных ценах; рублей)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Зависимые переменные — ф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акторы, которые могут определять   сбережения домашних хозяйств (все данные взяты за 2015 год).</w:t>
      </w:r>
      <w:r>
        <w:rPr>
          <w:rFonts w:cs="Times New Roman" w:ascii="Times New Roman" w:hAnsi="Times New Roman"/>
          <w:sz w:val="28"/>
          <w:szCs w:val="28"/>
        </w:rPr>
        <w:t xml:space="preserve"> В нашем случае это: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grp</w:t>
      </w:r>
      <w:r>
        <w:rPr>
          <w:rFonts w:cs="Times New Roman" w:ascii="Times New Roman" w:hAnsi="Times New Roman"/>
          <w:sz w:val="28"/>
          <w:szCs w:val="28"/>
        </w:rPr>
        <w:t xml:space="preserve"> – в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аловой региональный продукт на душу населения в 2015 году (рублей)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cons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ф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актическое конечное потребление домашних хозяйств на душу населения в 2015 году на территории субъектов российской федерации (в текущих рыночных ценах; рублей)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inc</w:t>
      </w:r>
      <w:r>
        <w:rPr>
          <w:rFonts w:cs="Times New Roman" w:ascii="Times New Roman" w:hAnsi="Times New Roman"/>
          <w:sz w:val="28"/>
          <w:szCs w:val="28"/>
        </w:rPr>
        <w:t xml:space="preserve"> 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среднедушевые денежные доходы населения (в месяц; рублей)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unemp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численность безработных (по данным выборочных обследований рабочей силы; тысяч человек)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cpi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индексы потребительских цен (декабрь к декабрю предыдущего года; в процентах)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 xml:space="preserve">debt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- задолженность по кредитам в рублях,  предоставленным кредитными организациями юридическим лицам (исходя из местонахождения заемщиков; на начало года;  миллионов рублей)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deprub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вклады (депозиты) физических лиц на рублевых счетах  в сбербанке россии (на начало года; миллионов рублей)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depcur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вклады (депозиты) физических лиц на валютных счетах  в сбербанке россии  (на начало года; миллионов рублей)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inv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инвестиции в основной капитал на душу населения (в фактически действовавших ценах;  рублей)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emp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уровень занятости населения (по данным выборочных обследований рабочей силы; в процентах)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dem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коэффициенты демографической нагрузки (оценка на конец года; на 1000 человек трудоспособного возраста приходится лиц нетрудоспособных возрастов)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 w:val="false"/>
          <w:i/>
          <w:iCs w:val="false"/>
          <w:sz w:val="28"/>
          <w:szCs w:val="28"/>
          <w:lang w:val="en-US"/>
        </w:rPr>
        <w:t>migr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коэффициенты миграционного прироста на 10 000 человек населения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333333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sz w:val="28"/>
          <w:szCs w:val="28"/>
          <w:lang w:val="en-US" w:eastAsia="ru-RU"/>
        </w:rPr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1.2 Анализ данных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Перед тем как сроить модель множественной регрессии выполним описательную статистику выбранных переменных и построим графики, отражающие ависимости между переменными.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Исходные данные за 2015 год по 80 регионам и 3 городам (г. Москва, г. Санкт-Петербург, г. Севастополь).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Определим наличие выбросов с помощью ящичковой диаграммы: 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  <w:drawing>
          <wp:inline distT="0" distB="0" distL="0" distR="0">
            <wp:extent cx="3026410" cy="246824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Рисунок 1 – Ящичковая диаграмма по переменным 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 w:eastAsia="ru-RU"/>
        </w:rPr>
        <w:t>sav, grp, cons, inc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  <w:drawing>
          <wp:inline distT="0" distB="0" distL="0" distR="0">
            <wp:extent cx="3281045" cy="283654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Рисунок 2 – Ящичковые диаграммы по переменным </w:t>
      </w:r>
      <w:r>
        <w:rPr>
          <w:rFonts w:eastAsia="Times New Roman" w:cs="Times New Roman" w:ascii="Times New Roman" w:hAnsi="Times New Roman"/>
          <w:b/>
          <w:i/>
          <w:sz w:val="28"/>
          <w:szCs w:val="28"/>
          <w:lang w:val="en-US" w:eastAsia="ru-RU"/>
        </w:rPr>
        <w:t>unemp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cpi</w:t>
      </w:r>
      <w:r>
        <w:rPr>
          <w:rFonts w:cs="Times New Roman" w:ascii="Times New Roman" w:hAnsi="Times New Roman"/>
          <w:b/>
          <w:i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i/>
          <w:sz w:val="28"/>
          <w:szCs w:val="28"/>
          <w:lang w:val="en-US"/>
        </w:rPr>
        <w:t>emp</w:t>
      </w:r>
      <w:r>
        <w:rPr>
          <w:rFonts w:cs="Times New Roman" w:ascii="Times New Roman" w:hAnsi="Times New Roman"/>
          <w:b/>
          <w:i/>
          <w:sz w:val="28"/>
          <w:szCs w:val="28"/>
        </w:rPr>
        <w:t>, dem, migr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Удаление выбросов требуется для выполнения предпосылок использования метода наименьших квадратов. После удаления выбросов осталось 75 субъкектов. Построим гистограммы для каждой из переменных и точечные диаграммы для каждой пары переменых.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35560</wp:posOffset>
            </wp:positionV>
            <wp:extent cx="5941695" cy="31705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исунок 3 – Диаграммы рассеяния и гистограммы для всех переменных </w:t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Рассмотрим описательную статистику выбранных показателей.</w:t>
      </w:r>
    </w:p>
    <w:p>
      <w:pPr>
        <w:pStyle w:val="Normal"/>
        <w:spacing w:lineRule="auto" w:line="360" w:before="0" w:after="0"/>
        <w:ind w:left="0" w:right="0" w:firstLine="709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Таблица 1. Описательная статистика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6106160" cy="15068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Из таблицы 1 можно увидеть, что в </w:t>
      </w:r>
      <w:r>
        <w:rPr>
          <w:rFonts w:cs="Times New Roman" w:ascii="Times New Roman" w:hAnsi="Times New Roman"/>
          <w:sz w:val="28"/>
          <w:szCs w:val="28"/>
        </w:rPr>
        <w:t xml:space="preserve">среднем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сбережения домашних хозяйств по регионам в 2015 году на душу населения составляют 62816 рублей</w:t>
      </w:r>
      <w:r>
        <w:rPr>
          <w:rFonts w:cs="Times New Roman" w:ascii="Times New Roman" w:hAnsi="Times New Roman"/>
          <w:sz w:val="28"/>
          <w:szCs w:val="28"/>
        </w:rPr>
        <w:t>. А по гистограмме на рисунке 3 видно, что зависимая перменная имеет близкое к нормальному распределение.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Далее 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ыполним корреляционный анализ, с помощью которого определим,</w:t>
      </w:r>
      <w:bookmarkStart w:id="2" w:name="_GoBack"/>
      <w:bookmarkEnd w:id="2"/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как выбранные факторы влияют на сбережения и есть ли возможность наличия мультиколлениарности.</w:t>
      </w:r>
    </w:p>
    <w:p>
      <w:pPr>
        <w:pStyle w:val="Normal"/>
        <w:spacing w:lineRule="auto" w:line="360" w:before="0" w:after="0"/>
        <w:ind w:left="0" w:right="0" w:firstLine="709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Таблица 2. Корреляционная матрица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5941695" cy="115379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Анализируя корреляционную матрицу, значение коэффициента корреляции между переменными выше 0,7, говорит о возможном наличии  мультиколлениарности, что можно формально определить с помощью теста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VIF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, что будет сделано в следующей главе.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Глава 2. Построение эконометрической модели</w:t>
      </w:r>
    </w:p>
    <w:p>
      <w:pPr>
        <w:pStyle w:val="Normal"/>
        <w:tabs>
          <w:tab w:val="clear" w:pos="408"/>
          <w:tab w:val="decimal" w:pos="9921" w:leader="dot"/>
        </w:tabs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2.1 Построение модели</w:t>
      </w:r>
    </w:p>
    <w:p>
      <w:pPr>
        <w:pStyle w:val="Normal"/>
        <w:tabs>
          <w:tab w:val="clear" w:pos="408"/>
          <w:tab w:val="decimal" w:pos="9921" w:leader="dot"/>
        </w:tabs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исследования наиболее влиятельных факторов, определяющих формирование сбережений в РФ, используется инструмент эконометрического моделирования. В частности, мы построим модель множественной линейной регрессии.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таблице 3 представлена множественная регрессия влючающая в себя все регрессоры, однако коэффициент детерминации равный 1 и низкие значения некоторых статистик говорят о наличии мультиколлинерности.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Таблица 3. Линейная множественная регрессия со всеми регрессорами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871595" cy="3746500"/>
            <wp:effectExtent l="0" t="0" r="0" b="0"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определения причины мультиколлинеарности проведем VIF-тест, результаты которого представлены в таблице 4: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4. Тест </w:t>
      </w:r>
      <w:r>
        <w:rPr>
          <w:rFonts w:cs="Times New Roman" w:ascii="Times New Roman" w:hAnsi="Times New Roman"/>
          <w:sz w:val="28"/>
          <w:szCs w:val="28"/>
          <w:lang w:val="en-US"/>
        </w:rPr>
        <w:t>VIF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1695" cy="20447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Значения </w:t>
      </w:r>
      <w:r>
        <w:rPr>
          <w:rFonts w:cs="Times New Roman" w:ascii="Times New Roman" w:hAnsi="Times New Roman"/>
          <w:sz w:val="28"/>
          <w:szCs w:val="28"/>
          <w:lang w:val="en-US"/>
        </w:rPr>
        <w:t>VIF</w:t>
      </w:r>
      <w:r>
        <w:rPr>
          <w:rFonts w:cs="Times New Roman" w:ascii="Times New Roman" w:hAnsi="Times New Roman"/>
          <w:sz w:val="28"/>
          <w:szCs w:val="28"/>
        </w:rPr>
        <w:t xml:space="preserve">&gt;4 указывают на переменные из-за которых возникает мультиколлинеарность. Избавившись поочередно от переменных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cons, inc, debt, deprub, depcur, inv</w:t>
      </w:r>
      <w:r>
        <w:rPr>
          <w:rFonts w:cs="Times New Roman" w:ascii="Times New Roman" w:hAnsi="Times New Roman"/>
          <w:sz w:val="28"/>
          <w:szCs w:val="28"/>
        </w:rPr>
        <w:t xml:space="preserve"> получаем следующую модель (таблица 5), в которой значения VIF&lt;4 для всех перменных (таблица 6).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5. Линейная множественная регрессия без 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cons, inc, debt, deprub, depcur, inv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052060" cy="3746500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0" w:right="0" w:firstLine="709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6. Тест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VIF для  модели без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cons, inc, debt, deprub, depcur, inv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ListParagraph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33337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Значения статистики теста Рамсея RESET = 0.48897 и p-value = 0.4868 указывают на правильную спецификацию модели. F-тест говорит о том, что модель качественная, поскольку гипотеза об одновременной незначимости всех коэффциентов отвергается менее чем на 1% уровне значимости. Значения </w:t>
      </w:r>
      <w:r>
        <w:rPr>
          <w:rFonts w:cs="Times New Roman" w:ascii="Times New Roman" w:hAnsi="Times New Roman"/>
          <w:sz w:val="28"/>
          <w:szCs w:val="28"/>
          <w:lang w:val="en-US"/>
        </w:rPr>
        <w:t>VIF&lt;</w:t>
      </w:r>
      <w:r>
        <w:rPr>
          <w:rFonts w:cs="Times New Roman" w:ascii="Times New Roman" w:hAnsi="Times New Roman"/>
          <w:sz w:val="28"/>
          <w:szCs w:val="28"/>
        </w:rPr>
        <w:t xml:space="preserve">4 (Таблица 6) указывают на то, что мы избавились от  мультиколлинеарности. 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остове критерия Стьюдента определим значимые коэффциенты и оставим в модели соответсвующие регрессоры, а также прологарифмируем переменные </w:t>
      </w: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>sav, grp.</w:t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имеем слеудующую модель (Таблица 7):</w:t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8"/>
        <w:jc w:val="center"/>
        <w:rPr>
          <w:rFonts w:ascii="Times New Roman" w:hAnsi="Times New Roman" w:eastAsia="Times New Roman" w:cs="Times New Roman"/>
          <w:b/>
          <w:b/>
          <w:i/>
          <w:i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log(sav) = </w:t>
      </w:r>
      <w:bookmarkStart w:id="3" w:name="rstudio_console_output"/>
      <w:bookmarkEnd w:id="3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-6.18998  +  </w:t>
      </w:r>
      <w:bookmarkStart w:id="4" w:name="rstudio_console_output1"/>
      <w:bookmarkEnd w:id="4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 0.42975 * log(grp) + </w:t>
      </w:r>
      <w:bookmarkStart w:id="5" w:name="rstudio_console_output2"/>
      <w:bookmarkEnd w:id="5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0.10421 * cpi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7. Линейная множественная регрессия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log(sav) ~ log(grp) + cpi</w:t>
      </w:r>
    </w:p>
    <w:p>
      <w:pPr>
        <w:pStyle w:val="Normal"/>
        <w:tabs>
          <w:tab w:val="clear" w:pos="408"/>
          <w:tab w:val="decimal" w:pos="9354" w:leader="dot"/>
        </w:tabs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i/>
          <w:i/>
          <w:color w:val="auto"/>
          <w:kern w:val="0"/>
          <w:sz w:val="28"/>
          <w:szCs w:val="28"/>
          <w:lang w:val="en-US" w:eastAsia="en-US" w:bidi="ar-SA"/>
        </w:rPr>
      </w:pPr>
      <w:r>
        <w:rPr/>
        <w:drawing>
          <wp:inline distT="0" distB="0" distL="0" distR="0">
            <wp:extent cx="5238115" cy="3746500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Проведем диагностику модели, чтобы убедиться, что построенная модель пригодна для исследования.</w:t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2.2 Анализ эконометрической модели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Коэффициент детерминации (таблица 7) свидетельствует о том, что изменения зависимой переменной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>log(sav)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 33.4 % объясняются изменениями включенных в модель объясняющих переменных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 log(grp), cpi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Для проверки значимости параметров регрессии воспользуемся критерием Стьюдента: гипотеза о незначимости коэффцициентов при </w:t>
      </w:r>
      <w:r>
        <w:rPr>
          <w:rFonts w:eastAsia="Calibri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 log(grp), cpi</w:t>
      </w: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ru-RU" w:eastAsia="en-US" w:bidi="ar-S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отвергается на 1% уровне значимости. С помощью критерия Фишера определим качество модели. Значение  F-statistic: 18.06 указывает на то, что гипотеза об одновременной незначимости всех коэффициентов отвергается на 1% уровне значимости. </w:t>
      </w:r>
      <w:r>
        <w:rPr>
          <w:rFonts w:eastAsia="Times New Roman" w:cs="Times New Roman" w:ascii="Times New Roman" w:hAnsi="Times New Roman"/>
          <w:iCs/>
          <w:sz w:val="28"/>
          <w:szCs w:val="28"/>
        </w:rPr>
        <w:t xml:space="preserve">Отсюда </w:t>
      </w:r>
      <w:r>
        <w:rPr>
          <w:rFonts w:cs="Times New Roman" w:ascii="Times New Roman" w:hAnsi="Times New Roman"/>
          <w:sz w:val="28"/>
          <w:szCs w:val="28"/>
        </w:rPr>
        <w:t>делаем вывод, что построенная модель качественная.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Проверим мультиколлениарность, с помощью теста </w:t>
      </w:r>
      <w:r>
        <w:rPr>
          <w:rFonts w:cs="Times New Roman" w:ascii="Times New Roman" w:hAnsi="Times New Roman"/>
          <w:sz w:val="28"/>
          <w:szCs w:val="28"/>
          <w:lang w:val="en-US"/>
        </w:rPr>
        <w:t>VIF: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8. Тест </w:t>
      </w:r>
      <w:r>
        <w:rPr>
          <w:rFonts w:cs="Times New Roman" w:ascii="Times New Roman" w:hAnsi="Times New Roman"/>
          <w:sz w:val="28"/>
          <w:szCs w:val="28"/>
          <w:lang w:val="en-US"/>
        </w:rPr>
        <w:t>VIF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2370455</wp:posOffset>
            </wp:positionH>
            <wp:positionV relativeFrom="paragraph">
              <wp:posOffset>635</wp:posOffset>
            </wp:positionV>
            <wp:extent cx="1200150" cy="333375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0" w:right="0" w:firstLine="709"/>
        <w:contextualSpacing/>
        <w:jc w:val="center"/>
        <w:rPr/>
      </w:pPr>
      <w:r>
        <w:rPr/>
      </w:r>
    </w:p>
    <w:p>
      <w:pPr>
        <w:pStyle w:val="ListParagraph"/>
        <w:spacing w:lineRule="auto" w:line="360" w:before="0" w:after="0"/>
        <w:ind w:left="0" w:righ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Т.к. </w:t>
      </w:r>
      <w:r>
        <w:rPr>
          <w:rFonts w:cs="Times New Roman" w:ascii="Times New Roman" w:hAnsi="Times New Roman"/>
          <w:sz w:val="28"/>
          <w:szCs w:val="28"/>
          <w:lang w:val="en-US"/>
        </w:rPr>
        <w:t>VIF&lt;</w:t>
      </w:r>
      <w:r>
        <w:rPr>
          <w:rFonts w:cs="Times New Roman" w:ascii="Times New Roman" w:hAnsi="Times New Roman"/>
          <w:sz w:val="28"/>
          <w:szCs w:val="28"/>
        </w:rPr>
        <w:t>4, можно сделать вывод, что мультиколлениарность отсутствует.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Убедимся, что полученные методом наименьших квадратов оценки являются наилучшими в классе линейных несмещённых оценок. Для этого проверим выполнение условий Гаусса-Маркова: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Правильная спецификация модели; 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нулевое математическое ожидание ошибок, для выполнения свойства несмещенности E(e</w:t>
      </w:r>
      <w:r>
        <w:rPr>
          <w:rFonts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sz w:val="28"/>
          <w:szCs w:val="28"/>
        </w:rPr>
        <w:t>) = 0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постоянная дисперсия Var(e</w:t>
      </w:r>
      <w:r>
        <w:rPr>
          <w:rFonts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sz w:val="28"/>
          <w:szCs w:val="28"/>
        </w:rPr>
        <w:t>) = const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детерминированность объясняющих переменных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ошибки некоррелированы cov(e</w:t>
      </w:r>
      <w:r>
        <w:rPr>
          <w:rFonts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sz w:val="28"/>
          <w:szCs w:val="28"/>
        </w:rPr>
        <w:t>, e</w:t>
      </w:r>
      <w:r>
        <w:rPr>
          <w:rFonts w:cs="Times New Roman" w:ascii="Times New Roman" w:hAnsi="Times New Roman"/>
          <w:sz w:val="28"/>
          <w:szCs w:val="28"/>
          <w:vertAlign w:val="subscript"/>
        </w:rPr>
        <w:t>j</w:t>
      </w:r>
      <w:r>
        <w:rPr>
          <w:rFonts w:cs="Times New Roman" w:ascii="Times New Roman" w:hAnsi="Times New Roman"/>
          <w:sz w:val="28"/>
          <w:szCs w:val="28"/>
        </w:rPr>
        <w:t>) = 0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ошибки имеют нормальное распределение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Для проверки первого условия воспользуемся тестом Рамсея, который позволит оценить правильность спецификации модели.  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9. </w:t>
      </w:r>
      <w:r>
        <w:rPr>
          <w:rFonts w:cs="Times New Roman" w:ascii="Times New Roman" w:hAnsi="Times New Roman"/>
          <w:sz w:val="28"/>
          <w:szCs w:val="28"/>
          <w:lang w:val="en-US"/>
        </w:rPr>
        <w:t>Тест Рамсея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6175" cy="695325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По результатам, указанным  в таблице 9, нулевая гипотеза о верной спецификации модели не отвергается, т.к.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/>
          <w:color w:val="000000"/>
          <w:sz w:val="28"/>
          <w:szCs w:val="28"/>
        </w:rPr>
        <w:t>-значение &gt; 0,05.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проверки второго условия рассчитаем математическое ожидание остатков модели. E(e</w:t>
      </w:r>
      <w:r>
        <w:rPr>
          <w:rFonts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sz w:val="28"/>
          <w:szCs w:val="28"/>
        </w:rPr>
        <w:t>) = 4.619966e-18, следовательно свойство несмещенности будет выполняться.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Для проверки третьего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условия воспользуемся тестом Бройша-Пагана, который позволит проверить </w:t>
      </w:r>
      <w:r>
        <w:rPr>
          <w:rFonts w:cs="Times New Roman" w:ascii="Times New Roman" w:hAnsi="Times New Roman"/>
          <w:sz w:val="28"/>
          <w:szCs w:val="28"/>
        </w:rPr>
        <w:t>наличие гетероскедастичности случайных ошибок регрессионной модели.</w:t>
      </w:r>
    </w:p>
    <w:p>
      <w:pPr>
        <w:pStyle w:val="ListParagraph"/>
        <w:spacing w:lineRule="auto" w:line="360" w:before="0" w:after="0"/>
        <w:ind w:left="0" w:right="0" w:firstLine="709"/>
        <w:contextualSpacing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Таблица 10.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Тест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Бройша</w:t>
      </w:r>
      <w:r>
        <w:rPr>
          <w:rFonts w:cs="Times New Roman" w:ascii="Times New Roman" w:hAnsi="Times New Roman"/>
          <w:sz w:val="28"/>
          <w:szCs w:val="28"/>
          <w:lang w:val="en-US"/>
        </w:rPr>
        <w:t>-Пагана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  <w:drawing>
          <wp:inline distT="0" distB="0" distL="0" distR="0">
            <wp:extent cx="3027045" cy="677545"/>
            <wp:effectExtent l="0" t="0" r="0" b="0"/>
            <wp:docPr id="1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Т.к. значение статистики теста BP = 0.4699, и p-value = 0.7906</w:t>
      </w:r>
      <w:r>
        <w:rPr>
          <w:rFonts w:ascii="Times New Roman" w:hAnsi="Times New Roman"/>
          <w:color w:val="000000"/>
          <w:sz w:val="28"/>
          <w:szCs w:val="28"/>
        </w:rPr>
        <w:t>, можем сделать вывод, что гипотеза о гомоскедастичности остатков не отвергается, следовательно условие три выполняется.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проверки отсутствия эндогенности необходимо рассчитать ковариацию между регрессорами и остатками:</w:t>
      </w:r>
    </w:p>
    <w:p>
      <w:pPr>
        <w:pStyle w:val="Normal"/>
        <w:spacing w:lineRule="auto" w:line="360" w:before="0" w:after="0"/>
        <w:ind w:left="0" w:right="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11. Расчет ковариации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  <w:drawing>
          <wp:inline distT="0" distB="0" distL="0" distR="0">
            <wp:extent cx="1789430" cy="271145"/>
            <wp:effectExtent l="0" t="0" r="0" b="0"/>
            <wp:docPr id="14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таблице 11 представлены расчеты ковариации, указывающие на то, что для обоих регрессоров ковариация с ошибками модели равна нулю, следовательно требование об отсутствии эндогенности выполняется.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Для проверки пятого условия воспользуемся тестом Дарбина-Уотсона,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который позволит проверить </w:t>
      </w:r>
      <w:r>
        <w:rPr>
          <w:rFonts w:cs="Times New Roman" w:ascii="Times New Roman" w:hAnsi="Times New Roman"/>
          <w:sz w:val="28"/>
          <w:szCs w:val="28"/>
        </w:rPr>
        <w:t>наличие автокорреляции случайных ошибок регрессионной модели. Выполним проверку на автокорреляцию:</w:t>
      </w:r>
    </w:p>
    <w:p>
      <w:pPr>
        <w:pStyle w:val="Normal"/>
        <w:spacing w:lineRule="auto" w:line="360" w:before="0" w:after="0"/>
        <w:ind w:left="0" w:right="0" w:firstLine="709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Таблица 12. Тест Дарбина — Уотсона</w:t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  <w:drawing>
          <wp:inline distT="0" distB="0" distL="0" distR="0">
            <wp:extent cx="3090545" cy="440055"/>
            <wp:effectExtent l="0" t="0" r="0" b="0"/>
            <wp:docPr id="1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Значение статистики </w:t>
      </w:r>
      <w:bookmarkStart w:id="6" w:name="rstudio_console_output6"/>
      <w:bookmarkEnd w:id="6"/>
      <w:r>
        <w:rPr>
          <w:rFonts w:eastAsia="Times New Roman" w:cs="Times New Roman" w:ascii="Times New Roman" w:hAnsi="Times New Roman"/>
          <w:sz w:val="28"/>
          <w:szCs w:val="28"/>
        </w:rPr>
        <w:t xml:space="preserve">DW-statistic = 1.891446  и  p-value </w:t>
      </w:r>
      <w:r>
        <w:rPr>
          <w:rFonts w:ascii="Times New Roman" w:hAnsi="Times New Roman"/>
          <w:color w:val="000000"/>
          <w:sz w:val="28"/>
          <w:szCs w:val="28"/>
        </w:rPr>
        <w:t>&gt; 0,05</w:t>
      </w:r>
      <w:r>
        <w:rPr>
          <w:rFonts w:eastAsia="Times New Roman" w:cs="Times New Roman" w:ascii="Times New Roman" w:hAnsi="Times New Roman"/>
          <w:sz w:val="28"/>
          <w:szCs w:val="20"/>
        </w:rPr>
        <w:t>, указывают на то, что гипотеза об отсутствии автокорреляции перого порядка не отвергается.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проверки шестого условия воспользуемся тестом Харке-Бера,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который позволит проверить нормальность распределения остатков. </w:t>
      </w:r>
      <w:r>
        <w:rPr>
          <w:rFonts w:cs="Times New Roman" w:ascii="Times New Roman" w:hAnsi="Times New Roman"/>
          <w:sz w:val="28"/>
          <w:szCs w:val="28"/>
        </w:rPr>
        <w:t xml:space="preserve">наличие автокорреляции случайных ошибок регрессионной модели.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/>
        <w:drawing>
          <wp:inline distT="0" distB="0" distL="0" distR="0">
            <wp:extent cx="3030220" cy="3025140"/>
            <wp:effectExtent l="0" t="0" r="0" b="0"/>
            <wp:docPr id="16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- Гистограмма остатков модели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Значения статистики JB = 1.7056 и p-value &gt; 0.05 говорят о том, что гипотеза о нормальности остатков не отвергается.</w:t>
      </w:r>
    </w:p>
    <w:p>
      <w:pPr>
        <w:pStyle w:val="Normal"/>
        <w:spacing w:lineRule="auto" w:line="360" w:before="0" w:after="0"/>
        <w:ind w:left="0" w:right="0" w:firstLine="709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Таблица 13. Тест Харке-Бера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5575" cy="676275"/>
            <wp:effectExtent l="0" t="0" r="0" b="0"/>
            <wp:wrapSquare wrapText="largest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Вывод: все условия теоремы Гаусса-Маркова выполняются, следовательно, полученные методом наименьших квадратов оценки являются наилучшими в классе линейных несмещённых оценок. </w:t>
      </w:r>
    </w:p>
    <w:p>
      <w:pPr>
        <w:pStyle w:val="Normal"/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Построенная модель пригодна является подлежит экономической интерпретации: </w:t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8"/>
        <w:jc w:val="center"/>
        <w:rPr>
          <w:rFonts w:ascii="Times New Roman" w:hAnsi="Times New Roman" w:eastAsia="Times New Roman" w:cs="Times New Roman"/>
          <w:b/>
          <w:b/>
          <w:i/>
          <w:i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log(sav) = </w:t>
      </w:r>
      <w:bookmarkStart w:id="7" w:name="rstudio_console_output7"/>
      <w:bookmarkEnd w:id="7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-6.18998  +  </w:t>
      </w:r>
      <w:bookmarkStart w:id="8" w:name="rstudio_console_output11"/>
      <w:bookmarkEnd w:id="8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 0.42975 * log(grp) + </w:t>
      </w:r>
      <w:bookmarkStart w:id="9" w:name="rstudio_console_output21"/>
      <w:bookmarkEnd w:id="9"/>
      <w:r>
        <w:rPr>
          <w:rFonts w:eastAsia="Times New Roman" w:cs="Times New Roman" w:ascii="Times New Roman" w:hAnsi="Times New Roman"/>
          <w:b/>
          <w:i/>
          <w:color w:val="auto"/>
          <w:kern w:val="0"/>
          <w:sz w:val="28"/>
          <w:szCs w:val="28"/>
          <w:lang w:val="en-US" w:eastAsia="en-US" w:bidi="ar-SA"/>
        </w:rPr>
        <w:t xml:space="preserve">0.10421 * cpi 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увеличением 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алового регионального продукта на душу населения в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на 1%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сбережения домашних хозяйств на душу населения растут на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0,43 % для соответствующего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 субъекта российской федерации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увеличением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>индекса потребительских цен на 1 (процент) сбережения домашних хозяйств на душу населения растут на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0,</w:t>
        <w:tab/>
        <w:t>104% для соответствующего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en-US" w:eastAsia="ru-RU"/>
        </w:rPr>
        <w:t xml:space="preserve"> субъекта российской федерации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Сбережения</w:t>
      </w:r>
      <w:r>
        <w:rPr>
          <w:rFonts w:cs="Times New Roman" w:ascii="Times New Roman" w:hAnsi="Times New Roman"/>
          <w:sz w:val="28"/>
          <w:szCs w:val="28"/>
        </w:rPr>
        <w:t xml:space="preserve"> домохозяйств явля</w:t>
      </w:r>
      <w:r>
        <w:rPr>
          <w:rFonts w:cs="Times New Roman" w:ascii="Times New Roman" w:hAnsi="Times New Roman"/>
          <w:sz w:val="28"/>
          <w:szCs w:val="28"/>
        </w:rPr>
        <w:t>ются</w:t>
      </w:r>
      <w:r>
        <w:rPr>
          <w:rFonts w:cs="Times New Roman" w:ascii="Times New Roman" w:hAnsi="Times New Roman"/>
          <w:sz w:val="28"/>
          <w:szCs w:val="28"/>
        </w:rPr>
        <w:t xml:space="preserve"> одним из важнейших </w:t>
      </w:r>
      <w:r>
        <w:rPr>
          <w:rFonts w:cs="Times New Roman" w:ascii="Times New Roman" w:hAnsi="Times New Roman"/>
          <w:sz w:val="28"/>
          <w:szCs w:val="28"/>
        </w:rPr>
        <w:t xml:space="preserve">показателей </w:t>
      </w:r>
      <w:r>
        <w:rPr>
          <w:rFonts w:cs="Times New Roman" w:ascii="Times New Roman" w:hAnsi="Times New Roman"/>
          <w:sz w:val="28"/>
          <w:szCs w:val="28"/>
        </w:rPr>
        <w:t>деятельности домохозяйств. Сбережения указывают на уровень жизни домохозяйства и формируют ресурсы для финансовых рынков, а также инвестиции в экономику страны. Микроэкономическое значение сбережений домохозяйств — обеспеч</w:t>
      </w:r>
      <w:r>
        <w:rPr>
          <w:rFonts w:cs="Times New Roman" w:ascii="Times New Roman" w:hAnsi="Times New Roman"/>
          <w:sz w:val="28"/>
          <w:szCs w:val="28"/>
        </w:rPr>
        <w:t>ение</w:t>
      </w:r>
      <w:r>
        <w:rPr>
          <w:rFonts w:cs="Times New Roman" w:ascii="Times New Roman" w:hAnsi="Times New Roman"/>
          <w:sz w:val="28"/>
          <w:szCs w:val="28"/>
        </w:rPr>
        <w:t xml:space="preserve"> безопасност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в </w:t>
      </w:r>
      <w:r>
        <w:rPr>
          <w:rFonts w:cs="Times New Roman" w:ascii="Times New Roman" w:hAnsi="Times New Roman"/>
          <w:sz w:val="28"/>
          <w:szCs w:val="28"/>
        </w:rPr>
        <w:t xml:space="preserve">условиях волатильности финансовой </w:t>
      </w:r>
      <w:r>
        <w:rPr>
          <w:rFonts w:cs="Times New Roman" w:ascii="Times New Roman" w:hAnsi="Times New Roman"/>
          <w:sz w:val="28"/>
          <w:szCs w:val="28"/>
        </w:rPr>
        <w:t>сред</w:t>
      </w:r>
      <w:r>
        <w:rPr>
          <w:rFonts w:cs="Times New Roman" w:ascii="Times New Roman" w:hAnsi="Times New Roman"/>
          <w:sz w:val="28"/>
          <w:szCs w:val="28"/>
        </w:rPr>
        <w:t>ы</w:t>
      </w:r>
      <w:r>
        <w:rPr>
          <w:rFonts w:cs="Times New Roman" w:ascii="Times New Roman" w:hAnsi="Times New Roman"/>
          <w:sz w:val="28"/>
          <w:szCs w:val="28"/>
        </w:rPr>
        <w:t>, а также накоплени</w:t>
      </w:r>
      <w:r>
        <w:rPr>
          <w:rFonts w:cs="Times New Roman" w:ascii="Times New Roman" w:hAnsi="Times New Roman"/>
          <w:sz w:val="28"/>
          <w:szCs w:val="28"/>
        </w:rPr>
        <w:t>е</w:t>
      </w:r>
      <w:r>
        <w:rPr>
          <w:rFonts w:cs="Times New Roman" w:ascii="Times New Roman" w:hAnsi="Times New Roman"/>
          <w:sz w:val="28"/>
          <w:szCs w:val="28"/>
        </w:rPr>
        <w:t xml:space="preserve"> богатства. Как правило, сбережения домохозяйств оказывают влияние на всю макроэкономическую систему страны. </w:t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Мы изучили процесс формирования сбережений домохозяйств с помощью эконометрического моделирования, в частности, модели множественной линейной регрессии. Эконометрический анализ показал наиболее значимые макроэкономические показатели, которые влияют на формирование сбережений домохозяйств. Постдиагностика </w:t>
      </w:r>
      <w:r>
        <w:rPr>
          <w:rFonts w:cs="Times New Roman" w:ascii="Times New Roman" w:hAnsi="Times New Roman"/>
          <w:sz w:val="28"/>
          <w:szCs w:val="28"/>
        </w:rPr>
        <w:t>полученной</w:t>
      </w:r>
      <w:r>
        <w:rPr>
          <w:rFonts w:cs="Times New Roman" w:ascii="Times New Roman" w:hAnsi="Times New Roman"/>
          <w:sz w:val="28"/>
          <w:szCs w:val="28"/>
        </w:rPr>
        <w:t xml:space="preserve"> модели показала, что </w:t>
      </w:r>
      <w:r>
        <w:rPr>
          <w:rFonts w:cs="Times New Roman" w:ascii="Times New Roman" w:hAnsi="Times New Roman"/>
          <w:sz w:val="28"/>
          <w:szCs w:val="28"/>
        </w:rPr>
        <w:t>остатки</w:t>
      </w:r>
      <w:r>
        <w:rPr>
          <w:rFonts w:cs="Times New Roman" w:ascii="Times New Roman" w:hAnsi="Times New Roman"/>
          <w:sz w:val="28"/>
          <w:szCs w:val="28"/>
        </w:rPr>
        <w:t xml:space="preserve"> модел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был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гомоскедастич</w:t>
      </w:r>
      <w:r>
        <w:rPr>
          <w:rFonts w:cs="Times New Roman" w:ascii="Times New Roman" w:hAnsi="Times New Roman"/>
          <w:sz w:val="28"/>
          <w:szCs w:val="28"/>
        </w:rPr>
        <w:t>ны</w:t>
      </w:r>
      <w:r>
        <w:rPr>
          <w:rFonts w:cs="Times New Roman" w:ascii="Times New Roman" w:hAnsi="Times New Roman"/>
          <w:sz w:val="28"/>
          <w:szCs w:val="28"/>
        </w:rPr>
        <w:t xml:space="preserve">, не </w:t>
      </w:r>
      <w:r>
        <w:rPr>
          <w:rFonts w:cs="Times New Roman" w:ascii="Times New Roman" w:hAnsi="Times New Roman"/>
          <w:sz w:val="28"/>
          <w:szCs w:val="28"/>
        </w:rPr>
        <w:t>авто</w:t>
      </w:r>
      <w:r>
        <w:rPr>
          <w:rFonts w:cs="Times New Roman" w:ascii="Times New Roman" w:hAnsi="Times New Roman"/>
          <w:sz w:val="28"/>
          <w:szCs w:val="28"/>
        </w:rPr>
        <w:t>коррел</w:t>
      </w:r>
      <w:r>
        <w:rPr>
          <w:rFonts w:cs="Times New Roman" w:ascii="Times New Roman" w:hAnsi="Times New Roman"/>
          <w:sz w:val="28"/>
          <w:szCs w:val="28"/>
        </w:rPr>
        <w:t>ированы</w:t>
      </w:r>
      <w:r>
        <w:rPr>
          <w:rFonts w:cs="Times New Roman" w:ascii="Times New Roman" w:hAnsi="Times New Roman"/>
          <w:sz w:val="28"/>
          <w:szCs w:val="28"/>
        </w:rPr>
        <w:t xml:space="preserve"> и нормально распределены. Кроме того, правильная спецификация модели была подтверждена тестом </w:t>
      </w:r>
      <w:r>
        <w:rPr>
          <w:rFonts w:cs="Times New Roman" w:ascii="Times New Roman" w:hAnsi="Times New Roman"/>
          <w:sz w:val="28"/>
          <w:szCs w:val="28"/>
        </w:rPr>
        <w:t>Рамсея (</w:t>
      </w:r>
      <w:r>
        <w:rPr>
          <w:rFonts w:cs="Times New Roman" w:ascii="Times New Roman" w:hAnsi="Times New Roman"/>
          <w:sz w:val="28"/>
          <w:szCs w:val="28"/>
        </w:rPr>
        <w:t>RESET-</w:t>
      </w:r>
      <w:r>
        <w:rPr>
          <w:rFonts w:cs="Times New Roman" w:ascii="Times New Roman" w:hAnsi="Times New Roman"/>
          <w:sz w:val="28"/>
          <w:szCs w:val="28"/>
        </w:rPr>
        <w:t>тест)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Возможно что анализ не выявил завистимости между сбержениями и факторами, которые мы выбрали на основе теоретических моделей, из-за несовершенности данных, наличия лага </w:t>
      </w:r>
      <w:r>
        <w:rPr>
          <w:rFonts w:cs="Times New Roman" w:ascii="Times New Roman" w:hAnsi="Times New Roman"/>
          <w:sz w:val="28"/>
          <w:szCs w:val="28"/>
        </w:rPr>
        <w:t>воздейтсвия факторов на изменение сбережений, а также влияние финансого кризиса в России 2014-2016 годов.</w:t>
      </w:r>
      <w:r>
        <w:rPr>
          <w:rFonts w:cs="Times New Roman" w:ascii="Times New Roman" w:hAnsi="Times New Roman"/>
          <w:sz w:val="28"/>
          <w:szCs w:val="28"/>
        </w:rPr>
        <w:t xml:space="preserve"> Дальнейшие исследования могут </w:t>
      </w:r>
      <w:r>
        <w:rPr>
          <w:rFonts w:cs="Times New Roman" w:ascii="Times New Roman" w:hAnsi="Times New Roman"/>
          <w:sz w:val="28"/>
          <w:szCs w:val="28"/>
        </w:rPr>
        <w:t xml:space="preserve">быть направлены на изучение динамики сбережений с помощью соответствующих методов анализа временных рядов.   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tabs>
          <w:tab w:val="clear" w:pos="408"/>
          <w:tab w:val="decimal" w:pos="9921" w:leader="dot"/>
        </w:tabs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Батракова АГ. Сбережения домашних хозяйств: сущность, группировки и роль в современной экономике. Деньги и кредит. 2006(11):66-72.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Доугерти, К. Введение в эконометрику, 3-е изд. — М.: ИНФРА-М, 2001.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Единый архив экономических и социологических данных. — URL: http://sophist.hse.ru/.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Канторович, Г. Г. Лекции: Анализ временных рядов. Экономический журнал Высшей школы экономики, 6(1),  2002.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Магнус Я.Р., Катышев П.К., Пересецкий А.А. Эконометрика. Начальный курс – М.: Дело, 2007. – 400 с.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Мастицкий, С.Э. and Шитиков, В.К., 2014. Статистический анализ и визуализация данных с помощью R. Электронная книга, адрес доступа: http://r-analytics. blogspot. com.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Носко, В. П. Эконометрика. — М.: Дело,  2011.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Резник Г.А., Спирина С.Г. Мотивы формирования сбережений в реформируемом обществе. Социологические исследования. 2006(9):120-2.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«Российский мониторинг экономического положения и здоровья населения НИУ ВШЭ (RLMS-HSE)», проводимый Национальным исследовательским университетом - Высшей школой экономики и ЗАО «Демоскоп» при участии Центра народонаселения Университета Северной Каролины в Чапел Хилле и Института социологии РАН. (Сайты обследования RLMS-HSE: http://www.hse.ru/rlms, http://www.cpc.unc.edu/projects/rlms)».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0" w:right="0" w:firstLine="357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Федеральная служба государственной статистики — URL: http://www.gks.ru//.</w:t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Приложение 1. Исходные данные.</w:t>
      </w:r>
    </w:p>
    <w:tbl>
      <w:tblPr>
        <w:tblW w:w="9533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9"/>
        <w:gridCol w:w="983"/>
        <w:gridCol w:w="1000"/>
        <w:gridCol w:w="900"/>
        <w:gridCol w:w="800"/>
        <w:gridCol w:w="734"/>
        <w:gridCol w:w="616"/>
        <w:gridCol w:w="734"/>
        <w:gridCol w:w="800"/>
        <w:gridCol w:w="816"/>
        <w:gridCol w:w="799"/>
      </w:tblGrid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sav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grp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cons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inc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unemp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cpi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debt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deprub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depcur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inv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Белгородская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87652.4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443086.2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252319.6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28331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215824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68474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23415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95036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Брянская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62975.9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219575.8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241368.1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25362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72657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35208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3790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50641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Владимирская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63309.8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255398.6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221438.2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23729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88074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50756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6875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51030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Воронежская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57634.4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352926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301429.6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29922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265902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123215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15928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113475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Ивановская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58895.5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165496.3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211776.5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22556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41024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31467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8089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24882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Калужская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77527.6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331468.3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254908.4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27703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118047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46701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6978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91777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Костромская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59206.7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241539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210097.3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22442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35996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19535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1902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41881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Курская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66319.8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299723.7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243292.2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25801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165050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34033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3780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65920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Липецкая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54236.5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395476.5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277743.5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27665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97241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48631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6009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100377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Московская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101383.2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441778.2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351040.8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37702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1130498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461300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66568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85764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Орловская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48610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269862.2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225338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22829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56597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28549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2363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62927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Рязанская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65709.7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279032.6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225002.3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24226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89578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45506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5596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47839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Смоленская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61618.2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267334.9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235465.8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24757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64293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35686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4863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57234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Тамбовская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56730.2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326479.9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244337.8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25089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85078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40502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3836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111365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Тверская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44964.4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260478.4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236483.6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23454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60344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51831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6474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56082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Тульская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69460.7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315660.1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246019.3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26290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147828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56596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5519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69953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Ярославская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82502.7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339699.5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245853.3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27363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127730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56568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8485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59317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г. Москва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120625.8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1103453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597574.2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59850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7860912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1508069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742640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125866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Карелия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38880.4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334493.5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269723.6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25717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30699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29870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3093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51865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Коми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88279.2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607941.9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302260.8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32545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27854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49124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6807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197456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Архангельская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74236.4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523566.2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316783.6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32585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122244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61743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6263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146111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Вологодская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96952.8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394135.5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210031.2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25582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97913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43322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5001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73245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Калининградская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69518.1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337989.9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240981.9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25875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127528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48376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12093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70953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Ленинградская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32232.1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480298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264731.9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24747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225330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53835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6100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127119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Мурманская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90327.4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510830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351848.6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36848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29783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70482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8536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131399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Новгородская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34239.1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389441.8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275036.9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25773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32859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22814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2795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112340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Псковская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37719.5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204768.6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222800.5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21710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35586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23777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2533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42179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г. Санкт-Петербург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90247.5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580562.9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388972.5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39935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1515584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375274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118115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92811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Адыгея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42537.6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183386.5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229214.4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22646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17703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9388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744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34988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Калмыкия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27527.9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169111.1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143232.1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14230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8101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4234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456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59380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Крым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1822.5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130569.9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186073.5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15658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2509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-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-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25023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Краснодарский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57250.6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355017.1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319249.4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31375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683633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198231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29115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107029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Астраханская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41551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314459.6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247133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24057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37298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31510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4123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110955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Волгоградская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39188.3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288161.9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221439.7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21719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129827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85810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10161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78455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Ростовская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33130.5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276426.8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285565.5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26558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404461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140800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19277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72997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г. Севастополь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46035.5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92899.6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168548.5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17882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-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-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16088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Дагестан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43580.1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186370.4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277275.9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26738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34473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27534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1766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65791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Ингушетия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82064.4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116007.9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94491.6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14713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117.5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6971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2664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294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42190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Кабардино-Балкарская Республика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34684.9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145555.1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194539.1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19102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115.3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43643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14831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1554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32883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Карачаево-Черкесская Республика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70880.5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143789.5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136335.5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17268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30225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7348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596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41944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Северная Осетия – Алания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46505.5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181039.9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217530.5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22003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14479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17991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1237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36134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Чеченская Республика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90655.8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116119.8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184348.2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22917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106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19679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187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42572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Ставропольский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26796.9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217648.4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248831.1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22969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157995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100871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14677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45081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Башкортостан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52109.8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323572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280650.2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27730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305409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96205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13684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78046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Марий Эл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36795.1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241070.5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185360.9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18513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60314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16293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1532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58737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Мордовия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53224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231878.3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161036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17855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94051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17618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2070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65272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Татарстан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77664.4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474694.5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308195.6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32155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542390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95988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21056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159800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Удмуртская Республика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75336.7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328003.1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218111.3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24454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94214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40491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4518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53942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Чувашская Республика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35161.2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202375.2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184306.8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18289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95553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33183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3477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45036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Пермский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108658.4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397621.4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275857.6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32043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256677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118138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24031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85826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Кировская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53537.9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212548.3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212250.1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22149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57904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35322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3714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42862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Нижегородская область 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89020.8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327474.2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281047.2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30839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360226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131112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19423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71991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Оренбургская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53718.5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387829.7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221729.5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22954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120113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54182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6876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84709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Пензенская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43557.5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248853.4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218270.5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21819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67432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46116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4164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65852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Самарская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57054.5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386473.7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275813.5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27739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347439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147614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44810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94376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Саратовская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45959.6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247963.4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194940.4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20075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152591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81248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9557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56270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Ульяновская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66944.2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239209.8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206403.8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22779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78836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43599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4103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63060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Курганская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50409.4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207554.2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196562.6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20581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31161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20425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1724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32156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Свердловская область 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61532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411077.3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356128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34805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509067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154007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25347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80847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Тюменская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111364.9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1625998.2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387763.1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41594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518059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156514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107294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489902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Челябинская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61615.3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334471.3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233320.7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24578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380843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96120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15595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62086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Алтай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25411.8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194825.4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193636.2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18254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12750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4254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222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56824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Бурятия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49655.3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208239.8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256104.7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25480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62513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18135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1839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36945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Тыва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43916.8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150258.3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139035.2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15246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3634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3186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146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41130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Хакасия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25753.7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320095.8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223714.3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20789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15577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10939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804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55828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Алтайский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44747.4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206712.2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207072.6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20985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95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130307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64590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10815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32988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Забайкальский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47503.8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229303.6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228256.2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22980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114.3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20864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29800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2079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70291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Красноярский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53428.2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565272.3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271795.8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27102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382927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99141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7856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138636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Иркутская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67404.6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419885.1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201935.4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22445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112.2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179628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90356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11558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85372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Кемеровская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56810.8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309637.3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205113.2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21827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106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231636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88513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11379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62643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 xml:space="preserve">Новосибирская область 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23135.6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356086.5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266976.4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24176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248911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92103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12709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59698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Омская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74140.8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311973.3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235927.2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25839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72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137361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53204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6871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47626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Томская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80758.7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440395.6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217393.3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24846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40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112.4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75200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31672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5230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97575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Республика Саха (Якутия)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75326.3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782629.4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378333.7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37805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73604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36672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2141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206651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Камчатский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139350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542797.4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352998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41029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28193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20877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3178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72151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Приморский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111523.7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371098.6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284272.3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32983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73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111.9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202065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86279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11661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72085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Хабаровский край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82367.5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427651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357084.5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36621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132787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70231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6171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85308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Амурская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81219.1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342762.6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281144.9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30197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112.8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32990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26953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2128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126537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Магаданская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186593.3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846400.3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415482.7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50173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113.1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17594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15918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1949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412113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Сахалинская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109333.9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1699932.7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485686.1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49585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18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110.6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30302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38772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5618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494963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Еврейская автономная область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58214.1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268310.6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234909.9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24427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3607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5150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377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71826</w:t>
            </w:r>
          </w:p>
        </w:tc>
      </w:tr>
      <w:tr>
        <w:trPr>
          <w:trHeight w:val="311" w:hRule="atLeast"/>
        </w:trPr>
        <w:tc>
          <w:tcPr>
            <w:tcW w:w="134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left"/>
              <w:rPr/>
            </w:pPr>
            <w:r>
              <w:rPr/>
              <w:t>Чукотский автономный округ</w:t>
            </w:r>
          </w:p>
        </w:tc>
        <w:tc>
          <w:tcPr>
            <w:tcW w:w="98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348999.7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1269343.9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390680.3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61640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</w:t>
            </w:r>
          </w:p>
        </w:tc>
        <w:tc>
          <w:tcPr>
            <w:tcW w:w="6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111.1</w:t>
            </w:r>
          </w:p>
        </w:tc>
        <w:tc>
          <w:tcPr>
            <w:tcW w:w="73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5183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5750</w:t>
            </w:r>
          </w:p>
        </w:tc>
        <w:tc>
          <w:tcPr>
            <w:tcW w:w="81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171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60"/>
              <w:jc w:val="right"/>
              <w:rPr/>
            </w:pPr>
            <w:r>
              <w:rPr/>
              <w:t>290634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left="0" w:right="0" w:firstLine="709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Приложение 2. Код программы 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:</w:t>
      </w:r>
    </w:p>
    <w:p>
      <w:pPr>
        <w:pStyle w:val="Normal"/>
        <w:spacing w:lineRule="auto" w:line="360" w:before="0" w:after="0"/>
        <w:jc w:val="both"/>
        <w:rPr/>
      </w:pPr>
      <w:r>
        <w:rPr/>
        <w:t>my_df &lt;- read.csv(file="savings.csv", header=TRUE, sep=",")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boxplot(my_df[1:4])</w:t>
      </w:r>
    </w:p>
    <w:p>
      <w:pPr>
        <w:pStyle w:val="Normal"/>
        <w:spacing w:lineRule="auto" w:line="360" w:before="0" w:after="0"/>
        <w:jc w:val="both"/>
        <w:rPr/>
      </w:pPr>
      <w:r>
        <w:rPr/>
        <w:t>boxplot(my_df[c(5,6,11,12,13)])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outlier_values &lt;- boxplot.stats(my_df$sav)$out  </w:t>
      </w:r>
    </w:p>
    <w:p>
      <w:pPr>
        <w:pStyle w:val="Normal"/>
        <w:spacing w:lineRule="auto" w:line="360" w:before="0" w:after="0"/>
        <w:jc w:val="both"/>
        <w:rPr/>
      </w:pPr>
      <w:r>
        <w:rPr/>
        <w:t>my_df &lt;- my_df[-which(my_df$sav %in% c(outlier_values, 34684.9, 26796.9)),]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summary(my_df)</w:t>
      </w:r>
    </w:p>
    <w:p>
      <w:pPr>
        <w:pStyle w:val="Normal"/>
        <w:spacing w:lineRule="auto" w:line="360" w:before="0" w:after="0"/>
        <w:jc w:val="both"/>
        <w:rPr/>
      </w:pPr>
      <w:r>
        <w:rPr/>
        <w:t>cor(my_df)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Model1 &lt;- lm(sav ~ grp+cons+inc+unemp+cpi+debt+ deprub  +   depcur    +     inv     +    emp    +     dem       +  migr,data = my_df)</w:t>
      </w:r>
    </w:p>
    <w:p>
      <w:pPr>
        <w:pStyle w:val="Normal"/>
        <w:spacing w:lineRule="auto" w:line="360" w:before="0" w:after="0"/>
        <w:jc w:val="both"/>
        <w:rPr/>
      </w:pPr>
      <w:r>
        <w:rPr/>
        <w:t>summary(Model1)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vif(Model1) 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Model2 &lt;- lm(sav ~ grp+unemp+cpi+ emp + dem +  migr,data = my_df)</w:t>
      </w:r>
    </w:p>
    <w:p>
      <w:pPr>
        <w:pStyle w:val="Normal"/>
        <w:spacing w:lineRule="auto" w:line="360" w:before="0" w:after="0"/>
        <w:jc w:val="both"/>
        <w:rPr/>
      </w:pPr>
      <w:r>
        <w:rPr/>
        <w:t>summary(Model2)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vif(Model2) </w:t>
      </w:r>
    </w:p>
    <w:p>
      <w:pPr>
        <w:pStyle w:val="Normal"/>
        <w:spacing w:lineRule="auto" w:line="360" w:before="0" w:after="0"/>
        <w:jc w:val="both"/>
        <w:rPr/>
      </w:pPr>
      <w:r>
        <w:rPr/>
        <w:t>resettest(Model2, power = 2)</w:t>
      </w:r>
    </w:p>
    <w:p>
      <w:pPr>
        <w:pStyle w:val="Normal"/>
        <w:spacing w:lineRule="auto" w:line="360" w:before="0" w:after="0"/>
        <w:jc w:val="both"/>
        <w:rPr/>
      </w:pPr>
      <w:r>
        <w:rPr/>
        <w:t>durbinWatsonTest(Model2)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Model &lt;-  lm(log(sav) ~ log(grp) + cpi , data = my_df)</w:t>
      </w:r>
    </w:p>
    <w:p>
      <w:pPr>
        <w:pStyle w:val="Normal"/>
        <w:spacing w:lineRule="auto" w:line="360" w:before="0" w:after="0"/>
        <w:jc w:val="both"/>
        <w:rPr/>
      </w:pPr>
      <w:r>
        <w:rPr/>
        <w:t>summary(Model)</w:t>
      </w:r>
    </w:p>
    <w:p>
      <w:pPr>
        <w:pStyle w:val="Normal"/>
        <w:spacing w:lineRule="auto" w:line="360" w:before="0" w:after="0"/>
        <w:jc w:val="both"/>
        <w:rPr/>
      </w:pPr>
      <w:r>
        <w:rPr/>
        <w:t>vif(Model)</w:t>
      </w:r>
    </w:p>
    <w:p>
      <w:pPr>
        <w:pStyle w:val="Normal"/>
        <w:spacing w:lineRule="auto" w:line="360" w:before="0" w:after="0"/>
        <w:jc w:val="both"/>
        <w:rPr/>
      </w:pPr>
      <w:r>
        <w:rPr/>
        <w:t>resettest(Model, power = 2)</w:t>
      </w:r>
    </w:p>
    <w:p>
      <w:pPr>
        <w:pStyle w:val="Normal"/>
        <w:spacing w:lineRule="auto" w:line="360" w:before="0" w:after="0"/>
        <w:jc w:val="both"/>
        <w:rPr/>
      </w:pPr>
      <w:r>
        <w:rPr/>
        <w:t>mean(resid(Model))</w:t>
      </w:r>
    </w:p>
    <w:p>
      <w:pPr>
        <w:pStyle w:val="Normal"/>
        <w:spacing w:lineRule="auto" w:line="360" w:before="0" w:after="0"/>
        <w:jc w:val="both"/>
        <w:rPr/>
      </w:pPr>
      <w:r>
        <w:rPr/>
        <w:t>bptest(Model)</w:t>
      </w:r>
    </w:p>
    <w:p>
      <w:pPr>
        <w:pStyle w:val="Normal"/>
        <w:spacing w:lineRule="auto" w:line="360" w:before="0" w:after="0"/>
        <w:jc w:val="both"/>
        <w:rPr/>
      </w:pPr>
      <w:r>
        <w:rPr/>
        <w:t>df_check &lt;-  data.frame(grp = log(my_df$grp),  cpi=my_df$cpi)</w:t>
      </w:r>
    </w:p>
    <w:p>
      <w:pPr>
        <w:pStyle w:val="Normal"/>
        <w:spacing w:lineRule="auto" w:line="360" w:before="0" w:after="0"/>
        <w:jc w:val="both"/>
        <w:rPr/>
      </w:pPr>
      <w:r>
        <w:rPr/>
        <w:t>cov(resid(Model),df_check)</w:t>
      </w:r>
    </w:p>
    <w:p>
      <w:pPr>
        <w:pStyle w:val="Normal"/>
        <w:spacing w:lineRule="auto" w:line="360" w:before="0" w:after="0"/>
        <w:jc w:val="both"/>
        <w:rPr/>
      </w:pPr>
      <w:r>
        <w:rPr/>
        <w:t>durbinWatsonTest(Model)</w:t>
      </w:r>
    </w:p>
    <w:p>
      <w:pPr>
        <w:pStyle w:val="Normal"/>
        <w:spacing w:lineRule="auto" w:line="360" w:before="0" w:after="0"/>
        <w:jc w:val="both"/>
        <w:rPr/>
      </w:pPr>
      <w:r>
        <w:rPr/>
        <w:t>jb.norm.test(resid(Model))</w:t>
      </w:r>
    </w:p>
    <w:p>
      <w:pPr>
        <w:pStyle w:val="Normal"/>
        <w:spacing w:lineRule="auto" w:line="360" w:before="0" w:after="0"/>
        <w:jc w:val="both"/>
        <w:rPr/>
      </w:pPr>
      <w:r>
        <w:rPr/>
        <w:t>plot(resid(Model))</w:t>
      </w:r>
    </w:p>
    <w:p>
      <w:pPr>
        <w:pStyle w:val="Normal"/>
        <w:spacing w:lineRule="auto" w:line="360" w:before="0" w:after="0"/>
        <w:jc w:val="both"/>
        <w:rPr/>
      </w:pPr>
      <w:r>
        <w:rPr/>
        <w:t>hist(resid(Model))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sectPr>
      <w:footerReference w:type="default" r:id="rId21"/>
      <w:type w:val="nextPage"/>
      <w:pgSz w:w="11906" w:h="16838"/>
      <w:pgMar w:left="1701" w:right="851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</w:rPr>
      <w:fldChar w:fldCharType="begin"/>
    </w:r>
    <w:r>
      <w:rPr>
        <w:rFonts w:cs="Times New Roman" w:ascii="Times New Roman" w:hAnsi="Times New Roman"/>
      </w:rPr>
      <w:instrText> PAGE </w:instrText>
    </w:r>
    <w:r>
      <w:rPr>
        <w:rFonts w:cs="Times New Roman" w:ascii="Times New Roman" w:hAnsi="Times New Roman"/>
      </w:rPr>
      <w:fldChar w:fldCharType="separate"/>
    </w:r>
    <w:r>
      <w:rPr>
        <w:rFonts w:cs="Times New Roman" w:ascii="Times New Roman" w:hAnsi="Times New Roman"/>
      </w:rPr>
      <w:t>23</w:t>
    </w:r>
    <w:r>
      <w:rPr>
        <w:rFonts w:cs="Times New Roman" w:ascii="Times New Roman" w:hAnsi="Times New Roman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659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yle12">
    <w:name w:val="Текст сноски Знак"/>
    <w:basedOn w:val="DefaultParagraphFont"/>
    <w:qFormat/>
    <w:rPr>
      <w:sz w:val="20"/>
      <w:szCs w:val="20"/>
    </w:rPr>
  </w:style>
  <w:style w:type="character" w:styleId="Style13">
    <w:name w:val="Основной текст Знак"/>
    <w:basedOn w:val="DefaultParagraphFont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6">
    <w:name w:val="Текст выноски Знак"/>
    <w:basedOn w:val="DefaultParagraphFont"/>
    <w:qFormat/>
    <w:rPr>
      <w:rFonts w:ascii="Lucida Grande CY" w:hAnsi="Lucida Grande CY" w:cs="Lucida Grande CY"/>
      <w:sz w:val="18"/>
      <w:szCs w:val="18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2">
    <w:name w:val="ListLabel 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3">
    <w:name w:val="ListLabel 3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4">
    <w:name w:val="ListLabel 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5">
    <w:name w:val="ListLabel 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6">
    <w:name w:val="ListLabel 6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7">
    <w:name w:val="ListLabel 7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8">
    <w:name w:val="ListLabel 8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9">
    <w:name w:val="ListLabel 9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0">
    <w:name w:val="ListLabel 1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1">
    <w:name w:val="ListLabel 1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2">
    <w:name w:val="ListLabel 1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3">
    <w:name w:val="ListLabel 13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4">
    <w:name w:val="ListLabel 14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5">
    <w:name w:val="ListLabel 15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6">
    <w:name w:val="ListLabel 16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7">
    <w:name w:val="ListLabel 17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8">
    <w:name w:val="ListLabel 18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ascii="Times New Roman" w:hAnsi="Times New Roman" w:cs="Times New Roman"/>
      <w:sz w:val="28"/>
      <w:szCs w:val="28"/>
      <w:lang w:val="en-US"/>
    </w:rPr>
  </w:style>
  <w:style w:type="character" w:styleId="ListLabel35">
    <w:name w:val="ListLabel 35"/>
    <w:qFormat/>
    <w:rPr>
      <w:rFonts w:ascii="Times New Roman" w:hAnsi="Times New Roman" w:cs="Times New Roman"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ascii="Times New Roman" w:hAnsi="Times New Roman" w:cs="Wingdings"/>
      <w:sz w:val="28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ascii="Times New Roman" w:hAnsi="Times New Roman" w:cs="Times New Roman"/>
      <w:sz w:val="28"/>
      <w:szCs w:val="28"/>
    </w:rPr>
  </w:style>
  <w:style w:type="character" w:styleId="ListLabel73">
    <w:name w:val="ListLabel 73"/>
    <w:qFormat/>
    <w:rPr>
      <w:rFonts w:ascii="Times New Roman" w:hAnsi="Times New Roman" w:cs="Symbol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cs="Wingdings"/>
      <w:sz w:val="28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Times New Roman" w:hAnsi="Times New Roman" w:cs="OpenSymbol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Times New Roman"/>
      <w:sz w:val="28"/>
      <w:szCs w:val="28"/>
    </w:rPr>
  </w:style>
  <w:style w:type="character" w:styleId="ListLabel110">
    <w:name w:val="ListLabel 110"/>
    <w:qFormat/>
    <w:rPr>
      <w:rFonts w:ascii="Times New Roman" w:hAnsi="Times New Roman" w:cs="Symbol"/>
      <w:sz w:val="28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ascii="Times New Roman" w:hAnsi="Times New Roman" w:cs="Wingdings"/>
      <w:sz w:val="28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0" w:after="12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ootnote">
    <w:name w:val="Footnote Text"/>
    <w:basedOn w:val="Normal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4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phist.hse.ru/" TargetMode="External"/><Relationship Id="rId3" Type="http://schemas.openxmlformats.org/officeDocument/2006/relationships/hyperlink" Target="http://sophist.hse.ru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Application>LibreOffice/6.1.5.2$Linux_X86_64 LibreOffice_project/10$Build-2</Application>
  <Pages>23</Pages>
  <Words>2892</Words>
  <Characters>19363</Characters>
  <CharactersWithSpaces>21279</CharactersWithSpaces>
  <Paragraphs>1076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2019-02-07T08:07:00Z</dcterms:created>
  <dc:creator>Анна</dc:creator>
  <dc:description/>
  <dc:language>en-US</dc:language>
  <cp:lastModifiedBy/>
  <dcterms:modified xsi:type="dcterms:W3CDTF">2019-03-15T18:11:45Z</dcterms:modified>
  <cp:revision>226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