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Анализ детерминантов сбережений домашних хозяйств в РФ на региональном уровне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1" w:header="0" w:top="1134" w:footer="0" w:bottom="1134" w:gutter="0"/>
          <w:pgNumType w:start="2"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</w:t>
        <w:tab/>
        <w:t>3</w:t>
      </w:r>
    </w:p>
    <w:p>
      <w:pPr>
        <w:pStyle w:val="Normal"/>
        <w:tabs>
          <w:tab w:val="clear" w:pos="408"/>
          <w:tab w:val="decimal" w:pos="9367" w:leader="dot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Глава 1. Спецификация модели</w:t>
        <w:tab/>
        <w:t>4</w:t>
      </w:r>
    </w:p>
    <w:p>
      <w:pPr>
        <w:pStyle w:val="Normal"/>
        <w:tabs>
          <w:tab w:val="clear" w:pos="408"/>
          <w:tab w:val="decimal" w:pos="9367" w:leader="dot"/>
        </w:tabs>
        <w:spacing w:lineRule="auto" w:line="360" w:before="0" w:after="0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1.1 Обоснование модели</w:t>
        <w:tab/>
        <w:t>4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357"/>
        <w:jc w:val="both"/>
        <w:rPr/>
      </w:pPr>
      <w:bookmarkStart w:id="0" w:name="_Hlk533186162"/>
      <w:r>
        <w:rPr>
          <w:rFonts w:cs="Times New Roman" w:ascii="Times New Roman" w:hAnsi="Times New Roman"/>
          <w:sz w:val="28"/>
          <w:szCs w:val="28"/>
        </w:rPr>
        <w:t>1.2 Сбор данных</w:t>
      </w:r>
      <w:bookmarkEnd w:id="0"/>
      <w:r>
        <w:rPr>
          <w:rFonts w:cs="Times New Roman" w:ascii="Times New Roman" w:hAnsi="Times New Roman"/>
          <w:sz w:val="28"/>
          <w:szCs w:val="28"/>
        </w:rPr>
        <w:tab/>
        <w:t>5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Глава 2. Построение эконометрической модели</w:t>
        <w:tab/>
        <w:t>9</w:t>
      </w:r>
    </w:p>
    <w:p>
      <w:pPr>
        <w:pStyle w:val="Normal"/>
        <w:tabs>
          <w:tab w:val="clear" w:pos="408"/>
          <w:tab w:val="decimal" w:pos="9367" w:leader="dot"/>
        </w:tabs>
        <w:spacing w:lineRule="auto" w:line="360" w:before="0" w:after="0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2.1 Построение модели</w:t>
        <w:tab/>
        <w:t>9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2.2 Анализ и прогнозирование на основе эконометрической модели</w:t>
        <w:tab/>
        <w:t>11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Заключение</w:t>
        <w:tab/>
        <w:t>22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Список использованных источников</w:t>
        <w:tab/>
        <w:t>23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</w:t>
        <w:tab/>
        <w:t>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Сбережения – это часть располагаемого дохода, которая предназначена для удовлетворения будущих потребностей. В данной работе подробно рассматриваются макроэкономические показатели влияющие на динамику сбережений в Российской Федерации, исследуются наиболее значимые из них.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Формирование сбережений домохозяйств изучается с использованием эконометрического моделирования, в частности, модели множественной линейной регрессии с использованием механизма коррекции ошибок.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</w:rPr>
        <w:t>Данная модель продемонстрировала адекватность, стабильность, а также хорошие показатели и могла быть использована для прогнозирования. Наши результаты показали, что расходы на потребление домашних хозяйств и валовой национальный доход были наиболее значительными макроэкономическими детерминантами сбережений домашних хозяйств в Украине. В отличие от ожиданий, проверка гипотез показала структурный разрыв в формировании сбережений домохозяйств в Украине только в 2010 году.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lang w:eastAsia="ru-RU"/>
        </w:rPr>
        <w:t>Целью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 данной работы является построение регрессионной модели для выявления факторов,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 xml:space="preserve"> влияющих на динамику сбережений в Российской Федерации. 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Актуальность</w:t>
      </w:r>
      <w:r>
        <w:rPr>
          <w:rFonts w:cs="Times New Roman" w:ascii="Times New Roman" w:hAnsi="Times New Roman"/>
          <w:sz w:val="28"/>
          <w:szCs w:val="28"/>
        </w:rPr>
        <w:t xml:space="preserve"> исследования вытекает из необходимости определения факторов, влияющих на сбережения, поскольку стабильный рост экономики невозможен без масштабного привлечения инвестиционных ресурсов, одним из источников которых могут стать сбережения населения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Задачи: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построение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модели множественной линейной регрессии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;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определение факторов, влияющих на сбережения;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bookmarkStart w:id="1" w:name="_Hlk533329876"/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анализ модели и проверка на адекватность </w:t>
      </w:r>
      <w:bookmarkEnd w:id="1"/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проведение эконометрического моделирования с помощью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 w:eastAsia="ru-RU"/>
        </w:rPr>
        <w:t>R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lang w:eastAsia="ru-RU"/>
        </w:rPr>
        <w:t>Объектом исследования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 в данной работе является квартальные показатели сбережений РФ с 1995 по 2018.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lang w:eastAsia="ru-RU"/>
        </w:rPr>
        <w:t>Предмет исследования.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 Анализ факторов влияющих на сбережения при помощи эконометрического моделирования.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Теоретической и методологической базой исследования послужили </w:t>
      </w:r>
      <w:r>
        <w:rPr>
          <w:rFonts w:cs="Times New Roman" w:ascii="Times New Roman" w:hAnsi="Times New Roman"/>
          <w:sz w:val="28"/>
          <w:szCs w:val="28"/>
        </w:rPr>
        <w:t>данные, взятые из «Единого архива экономических и социологических данных» (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http://sophist.hse.ru/</w:t>
        </w:r>
      </w:hyperlink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) и Росстата.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  <w:r>
        <w:br w:type="page"/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Глава 1. Спецификация модели</w:t>
      </w:r>
    </w:p>
    <w:p>
      <w:pPr>
        <w:pStyle w:val="Normal"/>
        <w:tabs>
          <w:tab w:val="clear" w:pos="408"/>
          <w:tab w:val="decimal" w:pos="9921" w:leader="dot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1.1 Обоснование модели и сбор данных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части работы мы выберем факторы, которые согласно теоретическим и эмпиричским исследованиям могут объяснять уровень сбережений домашних хозяйств.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оценки параметров модели будем использовать данные из «Единого архива экономических и социологических данных» (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http://sophist.hse.ru/</w:t>
        </w:r>
      </w:hyperlink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) и Росстата.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Первая переменная - зависимая переменная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 xml:space="preserve">sav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- сбережения домашних хозяйств на душу населения в 2015 году на территории субъектов российской федерации (в текущих рыночных ценах; рублей)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Зависимые переменные — ф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акторы, которые могут определять   сбережения домашних хозяйств (все данные взяты за 2015 год).</w:t>
      </w:r>
      <w:r>
        <w:rPr>
          <w:rFonts w:cs="Times New Roman" w:ascii="Times New Roman" w:hAnsi="Times New Roman"/>
          <w:sz w:val="28"/>
          <w:szCs w:val="28"/>
        </w:rPr>
        <w:t xml:space="preserve"> В нашем случае это: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grp</w:t>
      </w:r>
      <w:r>
        <w:rPr>
          <w:rFonts w:cs="Times New Roman" w:ascii="Times New Roman" w:hAnsi="Times New Roman"/>
          <w:sz w:val="28"/>
          <w:szCs w:val="28"/>
        </w:rPr>
        <w:t xml:space="preserve"> – в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аловой региональный продукт на душу населения в 2015 году (рублей)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cons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ф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актическое конечное потребление домашних хозяйств на душу населения в 2015 году на территории субъектов российской федерации (в текущих рыночных ценах; рублей)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inc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среднедушевые денежные доходы населения (в месяц; рублей)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unemp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численность безработных (по данным выборочных обследований рабочей силы; тысяч человек)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cpi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индексы потребительских цен (декабрь к декабрю предыдущего года; в процентах)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 xml:space="preserve">debt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- задолженность по кредитам в рублях,  предоставленным кредитными организациями юридическим лицам (исходя из местонахождения заемщиков; на начало года;  миллионов рублей)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deprub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вклады (депозиты) физических лиц на рублевых счетах  в сбербанке россии (на начало года; миллионов рублей)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depcur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вклады (депозиты) физических лиц на валютных счетах  в сбербанке россии  (на начало года; миллионов рублей)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inv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инвестиции в основной капитал на душу населения (в фактически действовавших ценах;  рублей)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emp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уровень занятости населения (по данным выборочных обследований рабочей силы; в процентах)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dem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коэффициенты демографической нагрузки (оценка на конец года; на 1000 человек трудоспособного возраста приходится лиц нетрудоспособных возрастов)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migr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коэффициенты миграционного прироста на 10 000 человек населения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333333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sz w:val="28"/>
          <w:szCs w:val="28"/>
          <w:lang w:val="en-US" w:eastAsia="ru-RU"/>
        </w:rPr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1.2 Анализ данных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Перед тем как сроить модель множественной регрессии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выполним описательную статистику выбранных переменных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 построим графики, отражающие ависимости между переменными.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Исходные данные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за 2015 год по 80 регионам и 3 городам (г. Москва, г. Санкт-Петербург, г. Севастополь)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Определим наличие выбросов 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помощью ящичковой диаграммы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  <w:drawing>
          <wp:inline distT="0" distB="8255" distL="0" distR="0">
            <wp:extent cx="3026410" cy="24682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Рисунок 1 – Ящичковая диаграмма по переменн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ым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 w:eastAsia="ru-RU"/>
        </w:rPr>
        <w:t>sav, grp, cons, inc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  <w:drawing>
          <wp:inline distT="0" distB="2540" distL="0" distR="0">
            <wp:extent cx="3281045" cy="283654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Рисунок 2 – Ящичковые диаграммы по переменным 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 w:eastAsia="ru-RU"/>
        </w:rPr>
        <w:t>unemp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cpi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emp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i/>
          <w:sz w:val="28"/>
          <w:szCs w:val="28"/>
        </w:rPr>
        <w:t>dem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i/>
          <w:sz w:val="28"/>
          <w:szCs w:val="28"/>
        </w:rPr>
        <w:t>migr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Удаление выбросов требуется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 выполнения предпосылок использования метода наименьших квадратов.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После удаления выбросов осталось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75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субъкектов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Построим гистограммы для каждой из переменных и точечные диаграммы для каждой пары переменых.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95250</wp:posOffset>
            </wp:positionH>
            <wp:positionV relativeFrom="paragraph">
              <wp:posOffset>35560</wp:posOffset>
            </wp:positionV>
            <wp:extent cx="5941695" cy="31705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Рисунок 3 – Диаграмм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рассеяния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и гистограммы для всех переменных 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Рассмотрим описательную статистику выбранных показателей.</w:t>
      </w:r>
    </w:p>
    <w:p>
      <w:pPr>
        <w:pStyle w:val="Normal"/>
        <w:spacing w:lineRule="auto" w:line="360" w:before="0" w:after="0"/>
        <w:ind w:left="0" w:right="0" w:firstLine="709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. Описательная статистика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7620">
            <wp:extent cx="6106160" cy="15068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Из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таблицы 1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можно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увидеть, что в </w:t>
      </w:r>
      <w:r>
        <w:rPr>
          <w:rFonts w:cs="Times New Roman" w:ascii="Times New Roman" w:hAnsi="Times New Roman"/>
          <w:sz w:val="28"/>
          <w:szCs w:val="28"/>
        </w:rPr>
        <w:t xml:space="preserve">среднем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сбережения домашних хозяйств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по регионам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в 2015 году на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душу населения составляют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62816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рублей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А по гистограмме на рисунке 3 видно, что зависимая перменная имеет близкое к нормальному распределение.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Далее 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ыполним корреляционный анализ, с помощью которого определим,</w:t>
      </w:r>
      <w:bookmarkStart w:id="2" w:name="_GoBack"/>
      <w:bookmarkEnd w:id="2"/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как выбранные факторы влияют на сбережения и есть ли возможность налич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я мультиколлениарности.</w:t>
      </w:r>
    </w:p>
    <w:p>
      <w:pPr>
        <w:pStyle w:val="Normal"/>
        <w:spacing w:lineRule="auto" w:line="360" w:before="0" w:after="0"/>
        <w:ind w:left="0" w:right="0" w:firstLine="709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 Корреляционная матрица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5941695" cy="115379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 xml:space="preserve">Анализируя корреляционную матрицу, значение коэффициента корреляции между переменными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выше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0,7,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говорит о возможном наличии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мультиколлениарност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и,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что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можно формально определить с помощью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тест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VIF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что будет сделано в следующей главе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Глава 2. Построение эконометрической модели</w:t>
      </w:r>
    </w:p>
    <w:p>
      <w:pPr>
        <w:pStyle w:val="Normal"/>
        <w:tabs>
          <w:tab w:val="clear" w:pos="408"/>
          <w:tab w:val="decimal" w:pos="9921" w:leader="dot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2.1 Построение модели</w:t>
      </w:r>
    </w:p>
    <w:p>
      <w:pPr>
        <w:pStyle w:val="Normal"/>
        <w:tabs>
          <w:tab w:val="clear" w:pos="408"/>
          <w:tab w:val="decimal" w:pos="9921" w:leader="dot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исследования наиболее влиятельных факторов, определяющих формирование сбережений в РФ, используется инструмент эконометрического моделирования. В частности, мы построим модель множественной линейной регрессии.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таблице 3 представлена множественная регрессия влючающая в себя все регрессоры, однако коэффициент детерминации равный 1 </w:t>
      </w:r>
      <w:r>
        <w:rPr>
          <w:rFonts w:cs="Times New Roman" w:ascii="Times New Roman" w:hAnsi="Times New Roman"/>
          <w:sz w:val="28"/>
          <w:szCs w:val="28"/>
        </w:rPr>
        <w:t>и низкие значения некоторых статистик говорят о наличии мультиколлинерности.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. Линейная множественная регрессия со всеми </w:t>
      </w:r>
      <w:r>
        <w:rPr>
          <w:rFonts w:cs="Times New Roman" w:ascii="Times New Roman" w:hAnsi="Times New Roman"/>
          <w:sz w:val="28"/>
          <w:szCs w:val="28"/>
        </w:rPr>
        <w:t>регрессорами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3871595" cy="3746500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sz w:val="28"/>
          <w:szCs w:val="28"/>
        </w:rPr>
        <w:t>определения причины мультиколлинеарности</w:t>
      </w:r>
      <w:r>
        <w:rPr>
          <w:rFonts w:cs="Times New Roman" w:ascii="Times New Roman" w:hAnsi="Times New Roman"/>
          <w:sz w:val="28"/>
          <w:szCs w:val="28"/>
        </w:rPr>
        <w:t xml:space="preserve"> проведем VIF-тест, результаты которого представлены в таблице 4: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. Тест </w:t>
      </w:r>
      <w:r>
        <w:rPr>
          <w:rFonts w:cs="Times New Roman" w:ascii="Times New Roman" w:hAnsi="Times New Roman"/>
          <w:sz w:val="28"/>
          <w:szCs w:val="28"/>
          <w:lang w:val="en-US"/>
        </w:rPr>
        <w:t>VIF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695" cy="20447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Значения </w:t>
      </w:r>
      <w:r>
        <w:rPr>
          <w:rFonts w:cs="Times New Roman" w:ascii="Times New Roman" w:hAnsi="Times New Roman"/>
          <w:sz w:val="28"/>
          <w:szCs w:val="28"/>
          <w:lang w:val="en-US"/>
        </w:rPr>
        <w:t>VIF</w:t>
      </w:r>
      <w:r>
        <w:rPr>
          <w:rFonts w:cs="Times New Roman" w:ascii="Times New Roman" w:hAnsi="Times New Roman"/>
          <w:sz w:val="28"/>
          <w:szCs w:val="28"/>
        </w:rPr>
        <w:t xml:space="preserve">&gt;4 </w:t>
      </w:r>
      <w:r>
        <w:rPr>
          <w:rFonts w:cs="Times New Roman" w:ascii="Times New Roman" w:hAnsi="Times New Roman"/>
          <w:sz w:val="28"/>
          <w:szCs w:val="28"/>
        </w:rPr>
        <w:t xml:space="preserve">указывают на переменные из-за которых возникает мультиколлинеарность. Избавившись поочередно от переменных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cons,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inc, debt,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 deprub, depcur,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inv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получаем следующую модель (таблица 5), в которой значения VIF&lt;4 для всех перменных (таблица 6)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. Линейная множественная регрессия </w:t>
      </w:r>
      <w:r>
        <w:rPr>
          <w:rFonts w:cs="Times New Roman" w:ascii="Times New Roman" w:hAnsi="Times New Roman"/>
          <w:sz w:val="28"/>
          <w:szCs w:val="28"/>
        </w:rPr>
        <w:t xml:space="preserve">без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cons,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inc, debt,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 deprub, depcur,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inv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5052060" cy="374650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0" w:right="0" w:firstLine="709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. Тест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VIF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для  модели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без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cons,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inc, debt,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 deprub, depcur,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inv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33337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Значения статистики теста Рамсея RESET = 0.</w:t>
      </w:r>
      <w:r>
        <w:rPr>
          <w:rFonts w:cs="Times New Roman" w:ascii="Times New Roman" w:hAnsi="Times New Roman"/>
          <w:sz w:val="28"/>
          <w:szCs w:val="28"/>
        </w:rPr>
        <w:t>48897</w:t>
      </w:r>
      <w:r>
        <w:rPr>
          <w:rFonts w:cs="Times New Roman" w:ascii="Times New Roman" w:hAnsi="Times New Roman"/>
          <w:sz w:val="28"/>
          <w:szCs w:val="28"/>
        </w:rPr>
        <w:t xml:space="preserve"> и p-value = 0.</w:t>
      </w:r>
      <w:r>
        <w:rPr>
          <w:rFonts w:cs="Times New Roman" w:ascii="Times New Roman" w:hAnsi="Times New Roman"/>
          <w:sz w:val="28"/>
          <w:szCs w:val="28"/>
        </w:rPr>
        <w:t>4868</w:t>
      </w:r>
      <w:r>
        <w:rPr>
          <w:rFonts w:cs="Times New Roman" w:ascii="Times New Roman" w:hAnsi="Times New Roman"/>
          <w:sz w:val="28"/>
          <w:szCs w:val="28"/>
        </w:rPr>
        <w:t xml:space="preserve"> указывают на правильную спецификацию модели.</w:t>
      </w:r>
      <w:r>
        <w:rPr>
          <w:rFonts w:cs="Times New Roman" w:ascii="Times New Roman" w:hAnsi="Times New Roman"/>
          <w:sz w:val="28"/>
          <w:szCs w:val="28"/>
        </w:rPr>
        <w:t xml:space="preserve"> F-тест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говорит о том, что модель качественная, поскольку гипотеза об одновременной незначимости всех коэффциентов отвергается менее чем на 1% уровне значимости. Значения </w:t>
      </w:r>
      <w:r>
        <w:rPr>
          <w:rFonts w:cs="Times New Roman" w:ascii="Times New Roman" w:hAnsi="Times New Roman"/>
          <w:sz w:val="28"/>
          <w:szCs w:val="28"/>
          <w:lang w:val="en-US"/>
        </w:rPr>
        <w:t>VIF</w:t>
      </w:r>
      <w:r>
        <w:rPr>
          <w:rFonts w:cs="Times New Roman" w:ascii="Times New Roman" w:hAnsi="Times New Roman"/>
          <w:sz w:val="28"/>
          <w:szCs w:val="28"/>
          <w:lang w:val="en-US"/>
        </w:rPr>
        <w:t>&lt;</w:t>
      </w:r>
      <w:r>
        <w:rPr>
          <w:rFonts w:cs="Times New Roman" w:ascii="Times New Roman" w:hAnsi="Times New Roman"/>
          <w:sz w:val="28"/>
          <w:szCs w:val="28"/>
        </w:rPr>
        <w:t xml:space="preserve">4 (Таблица 6) указывают на то, что мы избавились от  мультиколлинеарности. 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остове критерия Стьюдента определим значимые коэффциенты и оставим в модели соответсвующие регрессоры, а также </w:t>
      </w:r>
      <w:r>
        <w:rPr>
          <w:rFonts w:cs="Times New Roman" w:ascii="Times New Roman" w:hAnsi="Times New Roman"/>
          <w:sz w:val="28"/>
          <w:szCs w:val="28"/>
        </w:rPr>
        <w:t xml:space="preserve">прологарифмируем переменные </w:t>
      </w: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sav, </w:t>
      </w: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>grp.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</w:t>
      </w:r>
      <w:r>
        <w:rPr>
          <w:rFonts w:cs="Times New Roman" w:ascii="Times New Roman" w:hAnsi="Times New Roman"/>
          <w:sz w:val="28"/>
          <w:szCs w:val="28"/>
        </w:rPr>
        <w:t>имеем слеудующую модель (Таблица 7)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8"/>
        <w:jc w:val="center"/>
        <w:rPr>
          <w:rFonts w:ascii="Times New Roman" w:hAnsi="Times New Roman" w:eastAsia="Times New Roman" w:cs="Times New Roman"/>
          <w:b/>
          <w:b/>
          <w:i/>
          <w:i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log(sav) = </w:t>
      </w:r>
      <w:bookmarkStart w:id="3" w:name="rstudio_console_output"/>
      <w:bookmarkEnd w:id="3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-6.18998  + </w:t>
      </w: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 </w:t>
      </w:r>
      <w:bookmarkStart w:id="4" w:name="rstudio_console_output1"/>
      <w:bookmarkEnd w:id="4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 0.42975 </w:t>
      </w: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* log(grp) + </w:t>
      </w:r>
      <w:bookmarkStart w:id="5" w:name="rstudio_console_output2"/>
      <w:bookmarkEnd w:id="5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0.10421 </w:t>
      </w: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* cpi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. Линейная множественная регрессия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log(sav) ~ log(grp) + cpi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/>
          <w:i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5238115" cy="3746500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Проведем диагностику модели, чтобы убедиться, что </w:t>
      </w:r>
      <w:r>
        <w:rPr>
          <w:rFonts w:cs="Times New Roman" w:ascii="Times New Roman" w:hAnsi="Times New Roman"/>
          <w:sz w:val="28"/>
          <w:szCs w:val="28"/>
        </w:rPr>
        <w:t>построенная модель пригодна для исследования.</w:t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2.2 Анализ эконометрической модел</w:t>
      </w:r>
      <w:r>
        <w:rPr>
          <w:rFonts w:cs="Times New Roman" w:ascii="Times New Roman" w:hAnsi="Times New Roman"/>
          <w:b/>
          <w:sz w:val="28"/>
          <w:szCs w:val="28"/>
        </w:rPr>
        <w:t>и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Коэффициент детерминации (таблица 7)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свидетельствует о том, что изменения зависимой переменной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log(sav)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 33.4 % </w:t>
      </w:r>
      <w:r>
        <w:rPr>
          <w:rFonts w:eastAsia="Times New Roman" w:cs="Times New Roman" w:ascii="Times New Roman" w:hAnsi="Times New Roman"/>
          <w:sz w:val="28"/>
          <w:szCs w:val="28"/>
        </w:rPr>
        <w:t>объясн</w:t>
      </w:r>
      <w:r>
        <w:rPr>
          <w:rFonts w:eastAsia="Times New Roman" w:cs="Times New Roman" w:ascii="Times New Roman" w:hAnsi="Times New Roman"/>
          <w:sz w:val="28"/>
          <w:szCs w:val="28"/>
        </w:rPr>
        <w:t>яются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изменениями включенных в модель объясняющих переменных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 log(grp)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cpi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Для проверки значимости параметров регрессии </w:t>
      </w:r>
      <w:r>
        <w:rPr>
          <w:rFonts w:cs="Times New Roman" w:ascii="Times New Roman" w:hAnsi="Times New Roman"/>
          <w:sz w:val="28"/>
          <w:szCs w:val="28"/>
        </w:rPr>
        <w:t>воспользуемся</w:t>
      </w:r>
      <w:r>
        <w:rPr>
          <w:rFonts w:cs="Times New Roman" w:ascii="Times New Roman" w:hAnsi="Times New Roman"/>
          <w:sz w:val="28"/>
          <w:szCs w:val="28"/>
        </w:rPr>
        <w:t xml:space="preserve"> критери</w:t>
      </w:r>
      <w:r>
        <w:rPr>
          <w:rFonts w:cs="Times New Roman" w:ascii="Times New Roman" w:hAnsi="Times New Roman"/>
          <w:sz w:val="28"/>
          <w:szCs w:val="28"/>
        </w:rPr>
        <w:t>ем</w:t>
      </w:r>
      <w:r>
        <w:rPr>
          <w:rFonts w:cs="Times New Roman" w:ascii="Times New Roman" w:hAnsi="Times New Roman"/>
          <w:sz w:val="28"/>
          <w:szCs w:val="28"/>
        </w:rPr>
        <w:t xml:space="preserve"> Стьюдента: </w:t>
      </w:r>
      <w:r>
        <w:rPr>
          <w:rFonts w:cs="Times New Roman" w:ascii="Times New Roman" w:hAnsi="Times New Roman"/>
          <w:sz w:val="28"/>
          <w:szCs w:val="28"/>
        </w:rPr>
        <w:t xml:space="preserve">гипотеза о незначимости коэффцициентов при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 log(grp)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cpi</w:t>
      </w: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отвергается на 1% уровне значимости. С помощью критерия Фишера определим качество модели. Значение  F-statistic: 18.06 указывает на то, что гипотеза об одновременной незначимости всех коэффициентов отвергается на 1% уровне значимости. </w:t>
      </w:r>
      <w:r>
        <w:rPr>
          <w:rFonts w:eastAsia="Times New Roman" w:cs="Times New Roman" w:ascii="Times New Roman" w:hAnsi="Times New Roman"/>
          <w:iCs/>
          <w:sz w:val="28"/>
          <w:szCs w:val="28"/>
        </w:rPr>
        <w:t xml:space="preserve">Отсюда </w:t>
      </w:r>
      <w:r>
        <w:rPr>
          <w:rFonts w:cs="Times New Roman" w:ascii="Times New Roman" w:hAnsi="Times New Roman"/>
          <w:sz w:val="28"/>
          <w:szCs w:val="28"/>
        </w:rPr>
        <w:t>делаем вывод, что построенная модель качественная.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 xml:space="preserve">роверим мультиколлениарность, </w:t>
      </w:r>
      <w:r>
        <w:rPr>
          <w:rFonts w:cs="Times New Roman" w:ascii="Times New Roman" w:hAnsi="Times New Roman"/>
          <w:sz w:val="28"/>
          <w:szCs w:val="28"/>
        </w:rPr>
        <w:t>с помощью</w:t>
      </w:r>
      <w:r>
        <w:rPr>
          <w:rFonts w:cs="Times New Roman" w:ascii="Times New Roman" w:hAnsi="Times New Roman"/>
          <w:sz w:val="28"/>
          <w:szCs w:val="28"/>
        </w:rPr>
        <w:t xml:space="preserve"> тест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VIF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. Тест </w:t>
      </w:r>
      <w:r>
        <w:rPr>
          <w:rFonts w:cs="Times New Roman" w:ascii="Times New Roman" w:hAnsi="Times New Roman"/>
          <w:sz w:val="28"/>
          <w:szCs w:val="28"/>
          <w:lang w:val="en-US"/>
        </w:rPr>
        <w:t>VIF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center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2370455</wp:posOffset>
            </wp:positionH>
            <wp:positionV relativeFrom="paragraph">
              <wp:posOffset>635</wp:posOffset>
            </wp:positionV>
            <wp:extent cx="1200150" cy="33337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0" w:right="0" w:firstLine="709"/>
        <w:contextualSpacing/>
        <w:jc w:val="center"/>
        <w:rPr/>
      </w:pPr>
      <w:r>
        <w:rPr/>
      </w:r>
    </w:p>
    <w:p>
      <w:pPr>
        <w:pStyle w:val="ListParagraph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Т.к. </w:t>
      </w:r>
      <w:r>
        <w:rPr>
          <w:rFonts w:cs="Times New Roman" w:ascii="Times New Roman" w:hAnsi="Times New Roman"/>
          <w:sz w:val="28"/>
          <w:szCs w:val="28"/>
          <w:lang w:val="en-US"/>
        </w:rPr>
        <w:t>VIF</w:t>
      </w:r>
      <w:r>
        <w:rPr>
          <w:rFonts w:cs="Times New Roman" w:ascii="Times New Roman" w:hAnsi="Times New Roman"/>
          <w:sz w:val="28"/>
          <w:szCs w:val="28"/>
          <w:lang w:val="en-US"/>
        </w:rPr>
        <w:t>&lt;</w:t>
      </w:r>
      <w:r>
        <w:rPr>
          <w:rFonts w:cs="Times New Roman" w:ascii="Times New Roman" w:hAnsi="Times New Roman"/>
          <w:sz w:val="28"/>
          <w:szCs w:val="28"/>
        </w:rPr>
        <w:t xml:space="preserve">4, можно сделать вывод, что мультиколлениарность </w:t>
      </w:r>
      <w:r>
        <w:rPr>
          <w:rFonts w:cs="Times New Roman" w:ascii="Times New Roman" w:hAnsi="Times New Roman"/>
          <w:sz w:val="28"/>
          <w:szCs w:val="28"/>
        </w:rPr>
        <w:t>отсутствует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Убедимся, что полученные </w:t>
      </w:r>
      <w:r>
        <w:rPr>
          <w:rFonts w:cs="Times New Roman" w:ascii="Times New Roman" w:hAnsi="Times New Roman"/>
          <w:sz w:val="28"/>
          <w:szCs w:val="28"/>
        </w:rPr>
        <w:t>метод</w:t>
      </w:r>
      <w:r>
        <w:rPr>
          <w:rFonts w:cs="Times New Roman" w:ascii="Times New Roman" w:hAnsi="Times New Roman"/>
          <w:sz w:val="28"/>
          <w:szCs w:val="28"/>
        </w:rPr>
        <w:t>ом</w:t>
      </w:r>
      <w:r>
        <w:rPr>
          <w:rFonts w:cs="Times New Roman" w:ascii="Times New Roman" w:hAnsi="Times New Roman"/>
          <w:sz w:val="28"/>
          <w:szCs w:val="28"/>
        </w:rPr>
        <w:t xml:space="preserve"> наименьших квадратов оценки </w:t>
      </w:r>
      <w:r>
        <w:rPr>
          <w:rFonts w:cs="Times New Roman" w:ascii="Times New Roman" w:hAnsi="Times New Roman"/>
          <w:sz w:val="28"/>
          <w:szCs w:val="28"/>
        </w:rPr>
        <w:t xml:space="preserve">являются наилучшими </w:t>
      </w:r>
      <w:r>
        <w:rPr>
          <w:rFonts w:cs="Times New Roman" w:ascii="Times New Roman" w:hAnsi="Times New Roman"/>
          <w:sz w:val="28"/>
          <w:szCs w:val="28"/>
        </w:rPr>
        <w:t xml:space="preserve">в классе линейных несмещённых оценок. </w:t>
      </w:r>
      <w:r>
        <w:rPr>
          <w:rFonts w:cs="Times New Roman" w:ascii="Times New Roman" w:hAnsi="Times New Roman"/>
          <w:sz w:val="28"/>
          <w:szCs w:val="28"/>
        </w:rPr>
        <w:t>Для этого п</w:t>
      </w:r>
      <w:r>
        <w:rPr>
          <w:rFonts w:cs="Times New Roman" w:ascii="Times New Roman" w:hAnsi="Times New Roman"/>
          <w:sz w:val="28"/>
          <w:szCs w:val="28"/>
        </w:rPr>
        <w:t>роверим выполнение условий Гаусса-Маркова: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Правильная спецификация </w:t>
      </w:r>
      <w:r>
        <w:rPr>
          <w:rFonts w:cs="Times New Roman" w:ascii="Times New Roman" w:hAnsi="Times New Roman"/>
          <w:sz w:val="28"/>
          <w:szCs w:val="28"/>
        </w:rPr>
        <w:t xml:space="preserve">модели; 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нулевое математическое ожидание ошибок, для выполнения свойства несмещенности E(e</w:t>
      </w:r>
      <w:r>
        <w:rPr>
          <w:rFonts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sz w:val="28"/>
          <w:szCs w:val="28"/>
        </w:rPr>
        <w:t>) = 0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постоянная дисперсия Var(e</w:t>
      </w:r>
      <w:r>
        <w:rPr>
          <w:rFonts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sz w:val="28"/>
          <w:szCs w:val="28"/>
        </w:rPr>
        <w:t>) = const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детерминированность объясняющих переменных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ошибки некоррелированы cov(e</w:t>
      </w:r>
      <w:r>
        <w:rPr>
          <w:rFonts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j</w:t>
      </w:r>
      <w:r>
        <w:rPr>
          <w:rFonts w:cs="Times New Roman" w:ascii="Times New Roman" w:hAnsi="Times New Roman"/>
          <w:sz w:val="28"/>
          <w:szCs w:val="28"/>
        </w:rPr>
        <w:t>) = 0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ошибки имеют нормальное распределение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/>
          <w:color w:val="000000"/>
          <w:sz w:val="28"/>
          <w:szCs w:val="28"/>
        </w:rPr>
        <w:t xml:space="preserve">проверки первого условия воспользуемся </w:t>
      </w:r>
      <w:r>
        <w:rPr>
          <w:rFonts w:ascii="Times New Roman" w:hAnsi="Times New Roman"/>
          <w:color w:val="000000"/>
          <w:sz w:val="28"/>
          <w:szCs w:val="28"/>
        </w:rPr>
        <w:t>тестом</w:t>
      </w:r>
      <w:r>
        <w:rPr>
          <w:rFonts w:ascii="Times New Roman" w:hAnsi="Times New Roman"/>
          <w:color w:val="000000"/>
          <w:sz w:val="28"/>
          <w:szCs w:val="28"/>
        </w:rPr>
        <w:t xml:space="preserve"> Рамсея</w:t>
      </w:r>
      <w:r>
        <w:rPr>
          <w:rFonts w:ascii="Times New Roman" w:hAnsi="Times New Roman"/>
          <w:color w:val="000000"/>
          <w:sz w:val="28"/>
          <w:szCs w:val="28"/>
        </w:rPr>
        <w:t>, который позволит оценить правильность спецификации модели</w:t>
      </w:r>
      <w:r>
        <w:rPr>
          <w:rFonts w:ascii="Times New Roman" w:hAnsi="Times New Roman"/>
          <w:color w:val="000000"/>
          <w:sz w:val="28"/>
          <w:szCs w:val="28"/>
        </w:rPr>
        <w:t xml:space="preserve">.  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en-US"/>
        </w:rPr>
        <w:t>Тест Рамсея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6175" cy="69532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По результатам, указанным  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таблице 9, нулевая гипотеза о</w:t>
      </w:r>
      <w:r>
        <w:rPr>
          <w:rFonts w:ascii="Times New Roman" w:hAnsi="Times New Roman"/>
          <w:color w:val="000000"/>
          <w:sz w:val="28"/>
          <w:szCs w:val="28"/>
        </w:rPr>
        <w:t xml:space="preserve"> верн</w:t>
      </w:r>
      <w:r>
        <w:rPr>
          <w:rFonts w:ascii="Times New Roman" w:hAnsi="Times New Roman"/>
          <w:color w:val="000000"/>
          <w:sz w:val="28"/>
          <w:szCs w:val="28"/>
        </w:rPr>
        <w:t>ой</w:t>
      </w:r>
      <w:r>
        <w:rPr>
          <w:rFonts w:ascii="Times New Roman" w:hAnsi="Times New Roman"/>
          <w:color w:val="000000"/>
          <w:sz w:val="28"/>
          <w:szCs w:val="28"/>
        </w:rPr>
        <w:t xml:space="preserve"> спецификаци</w:t>
      </w:r>
      <w:r>
        <w:rPr>
          <w:rFonts w:ascii="Times New Roman" w:hAnsi="Times New Roman"/>
          <w:color w:val="000000"/>
          <w:sz w:val="28"/>
          <w:szCs w:val="28"/>
        </w:rPr>
        <w:t xml:space="preserve">и модели не отвергается, </w:t>
      </w:r>
      <w:r>
        <w:rPr>
          <w:rFonts w:ascii="Times New Roman" w:hAnsi="Times New Roman"/>
          <w:color w:val="000000"/>
          <w:sz w:val="28"/>
          <w:szCs w:val="28"/>
        </w:rPr>
        <w:t xml:space="preserve">т.к.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/>
          <w:color w:val="000000"/>
          <w:sz w:val="28"/>
          <w:szCs w:val="28"/>
        </w:rPr>
        <w:t>-значение &gt; 0,05.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проверки </w:t>
      </w:r>
      <w:r>
        <w:rPr>
          <w:rFonts w:cs="Times New Roman" w:ascii="Times New Roman" w:hAnsi="Times New Roman"/>
          <w:sz w:val="28"/>
          <w:szCs w:val="28"/>
        </w:rPr>
        <w:t>второго условия рассчитаем</w:t>
      </w:r>
      <w:r>
        <w:rPr>
          <w:rFonts w:cs="Times New Roman" w:ascii="Times New Roman" w:hAnsi="Times New Roman"/>
          <w:sz w:val="28"/>
          <w:szCs w:val="28"/>
        </w:rPr>
        <w:t xml:space="preserve"> математическое ожидани</w:t>
      </w:r>
      <w:r>
        <w:rPr>
          <w:rFonts w:cs="Times New Roman" w:ascii="Times New Roman" w:hAnsi="Times New Roman"/>
          <w:sz w:val="28"/>
          <w:szCs w:val="28"/>
        </w:rPr>
        <w:t>е остатков модели. E(e</w:t>
      </w:r>
      <w:r>
        <w:rPr>
          <w:rFonts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sz w:val="28"/>
          <w:szCs w:val="28"/>
        </w:rPr>
        <w:t>) = 4.619966e-18, следовательно свойство несмещенности будет выполняться.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Для проверки третьего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условия воспользуемся </w:t>
      </w:r>
      <w:r>
        <w:rPr>
          <w:rFonts w:cs="Times New Roman" w:ascii="Times New Roman" w:hAnsi="Times New Roman"/>
          <w:color w:val="000000"/>
          <w:sz w:val="28"/>
          <w:szCs w:val="28"/>
        </w:rPr>
        <w:t>тестом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Бройша-Пагана, который позволит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проверить </w:t>
      </w:r>
      <w:r>
        <w:rPr>
          <w:rFonts w:cs="Times New Roman" w:ascii="Times New Roman" w:hAnsi="Times New Roman"/>
          <w:sz w:val="28"/>
          <w:szCs w:val="28"/>
        </w:rPr>
        <w:t>наличие гетероскедастичности случайных ошибок регрессионной модели.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10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Тест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Бройша</w:t>
      </w:r>
      <w:r>
        <w:rPr>
          <w:rFonts w:cs="Times New Roman" w:ascii="Times New Roman" w:hAnsi="Times New Roman"/>
          <w:sz w:val="28"/>
          <w:szCs w:val="28"/>
          <w:lang w:val="en-US"/>
        </w:rPr>
        <w:t>-Пагана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  <w:drawing>
          <wp:inline distT="0" distB="0" distL="0" distR="0">
            <wp:extent cx="3027045" cy="677545"/>
            <wp:effectExtent l="0" t="0" r="0" b="0"/>
            <wp:docPr id="1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Т.к. </w:t>
      </w:r>
      <w:r>
        <w:rPr>
          <w:rFonts w:cs="Times New Roman" w:ascii="Times New Roman" w:hAnsi="Times New Roman"/>
          <w:sz w:val="28"/>
          <w:szCs w:val="28"/>
        </w:rPr>
        <w:t xml:space="preserve">значение статистики теста </w:t>
      </w:r>
      <w:r>
        <w:rPr>
          <w:rFonts w:cs="Times New Roman" w:ascii="Times New Roman" w:hAnsi="Times New Roman"/>
          <w:sz w:val="28"/>
          <w:szCs w:val="28"/>
        </w:rPr>
        <w:t xml:space="preserve">BP = 0.4699,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p-value = 0.7906</w:t>
      </w:r>
      <w:r>
        <w:rPr>
          <w:rFonts w:ascii="Times New Roman" w:hAnsi="Times New Roman"/>
          <w:color w:val="000000"/>
          <w:sz w:val="28"/>
          <w:szCs w:val="28"/>
        </w:rPr>
        <w:t xml:space="preserve">, можем сделать вывод, что </w:t>
      </w:r>
      <w:r>
        <w:rPr>
          <w:rFonts w:ascii="Times New Roman" w:hAnsi="Times New Roman"/>
          <w:color w:val="000000"/>
          <w:sz w:val="28"/>
          <w:szCs w:val="28"/>
        </w:rPr>
        <w:t>гипотеза о гомоскедастичности остатков не отвергается, следовательно условие три выполняется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проверки отсутствия эндогенности необходимо рассчитать ковариацию между </w:t>
      </w:r>
      <w:r>
        <w:rPr>
          <w:rFonts w:cs="Times New Roman" w:ascii="Times New Roman" w:hAnsi="Times New Roman"/>
          <w:sz w:val="28"/>
          <w:szCs w:val="28"/>
        </w:rPr>
        <w:t>регрессорами</w:t>
      </w:r>
      <w:r>
        <w:rPr>
          <w:rFonts w:cs="Times New Roman" w:ascii="Times New Roman" w:hAnsi="Times New Roman"/>
          <w:sz w:val="28"/>
          <w:szCs w:val="28"/>
        </w:rPr>
        <w:t xml:space="preserve"> и остатками:</w:t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11</w:t>
      </w:r>
      <w:r>
        <w:rPr>
          <w:rFonts w:cs="Times New Roman" w:ascii="Times New Roman" w:hAnsi="Times New Roman"/>
          <w:sz w:val="28"/>
          <w:szCs w:val="28"/>
        </w:rPr>
        <w:t>. Расчет ковариации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  <w:drawing>
          <wp:inline distT="0" distB="0" distL="0" distR="0">
            <wp:extent cx="1789430" cy="271145"/>
            <wp:effectExtent l="0" t="0" r="0" b="0"/>
            <wp:docPr id="14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табл</w:t>
      </w:r>
      <w:r>
        <w:rPr>
          <w:rFonts w:cs="Times New Roman" w:ascii="Times New Roman" w:hAnsi="Times New Roman"/>
          <w:sz w:val="28"/>
          <w:szCs w:val="28"/>
        </w:rPr>
        <w:t>ице 11</w:t>
      </w:r>
      <w:r>
        <w:rPr>
          <w:rFonts w:cs="Times New Roman" w:ascii="Times New Roman" w:hAnsi="Times New Roman"/>
          <w:sz w:val="28"/>
          <w:szCs w:val="28"/>
        </w:rPr>
        <w:t xml:space="preserve"> представлен</w:t>
      </w:r>
      <w:r>
        <w:rPr>
          <w:rFonts w:cs="Times New Roman" w:ascii="Times New Roman" w:hAnsi="Times New Roman"/>
          <w:sz w:val="28"/>
          <w:szCs w:val="28"/>
        </w:rPr>
        <w:t>ы</w:t>
      </w:r>
      <w:r>
        <w:rPr>
          <w:rFonts w:cs="Times New Roman" w:ascii="Times New Roman" w:hAnsi="Times New Roman"/>
          <w:sz w:val="28"/>
          <w:szCs w:val="28"/>
        </w:rPr>
        <w:t xml:space="preserve"> расчет</w:t>
      </w:r>
      <w:r>
        <w:rPr>
          <w:rFonts w:cs="Times New Roman" w:ascii="Times New Roman" w:hAnsi="Times New Roman"/>
          <w:sz w:val="28"/>
          <w:szCs w:val="28"/>
        </w:rPr>
        <w:t>ы ковариации, указывающие на то, что для обоих регрессоров ковариация с ошибками модели равна нулю, следовательно требование об о</w:t>
      </w:r>
      <w:r>
        <w:rPr>
          <w:rFonts w:cs="Times New Roman" w:ascii="Times New Roman" w:hAnsi="Times New Roman"/>
          <w:sz w:val="28"/>
          <w:szCs w:val="28"/>
        </w:rPr>
        <w:t>тсутстви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эндогенности выполняется.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проверки </w:t>
      </w:r>
      <w:r>
        <w:rPr>
          <w:rFonts w:cs="Times New Roman" w:ascii="Times New Roman" w:hAnsi="Times New Roman"/>
          <w:sz w:val="28"/>
          <w:szCs w:val="28"/>
        </w:rPr>
        <w:t xml:space="preserve">пятого условия </w:t>
      </w:r>
      <w:r>
        <w:rPr>
          <w:rFonts w:cs="Times New Roman" w:ascii="Times New Roman" w:hAnsi="Times New Roman"/>
          <w:sz w:val="28"/>
          <w:szCs w:val="28"/>
        </w:rPr>
        <w:t xml:space="preserve">воспользуемся </w:t>
      </w:r>
      <w:r>
        <w:rPr>
          <w:rFonts w:cs="Times New Roman" w:ascii="Times New Roman" w:hAnsi="Times New Roman"/>
          <w:sz w:val="28"/>
          <w:szCs w:val="28"/>
        </w:rPr>
        <w:t>тестом</w:t>
      </w:r>
      <w:r>
        <w:rPr>
          <w:rFonts w:cs="Times New Roman" w:ascii="Times New Roman" w:hAnsi="Times New Roman"/>
          <w:sz w:val="28"/>
          <w:szCs w:val="28"/>
        </w:rPr>
        <w:t xml:space="preserve"> Дарбина-Уотсона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</w:rPr>
        <w:t>который позволит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проверить </w:t>
      </w:r>
      <w:r>
        <w:rPr>
          <w:rFonts w:cs="Times New Roman" w:ascii="Times New Roman" w:hAnsi="Times New Roman"/>
          <w:sz w:val="28"/>
          <w:szCs w:val="28"/>
        </w:rPr>
        <w:t xml:space="preserve">наличие </w:t>
      </w:r>
      <w:r>
        <w:rPr>
          <w:rFonts w:cs="Times New Roman" w:ascii="Times New Roman" w:hAnsi="Times New Roman"/>
          <w:sz w:val="28"/>
          <w:szCs w:val="28"/>
        </w:rPr>
        <w:t>автокорреляции</w:t>
      </w:r>
      <w:r>
        <w:rPr>
          <w:rFonts w:cs="Times New Roman" w:ascii="Times New Roman" w:hAnsi="Times New Roman"/>
          <w:sz w:val="28"/>
          <w:szCs w:val="28"/>
        </w:rPr>
        <w:t xml:space="preserve"> случайных ошибок регрессионной модели.</w:t>
      </w:r>
      <w:r>
        <w:rPr>
          <w:rFonts w:cs="Times New Roman" w:ascii="Times New Roman" w:hAnsi="Times New Roman"/>
          <w:sz w:val="28"/>
          <w:szCs w:val="28"/>
        </w:rPr>
        <w:t xml:space="preserve"> Выполним проверку на автокорреляцию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ind w:left="0" w:right="0" w:firstLine="709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. Тест Дарбина — Уотсона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3090545" cy="440055"/>
            <wp:effectExtent l="0" t="0" r="0" b="0"/>
            <wp:docPr id="1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Значение статистики </w:t>
      </w:r>
      <w:bookmarkStart w:id="6" w:name="rstudio_console_output6"/>
      <w:bookmarkEnd w:id="6"/>
      <w:r>
        <w:rPr>
          <w:rFonts w:eastAsia="Times New Roman" w:cs="Times New Roman" w:ascii="Times New Roman" w:hAnsi="Times New Roman"/>
          <w:sz w:val="28"/>
          <w:szCs w:val="28"/>
        </w:rPr>
        <w:t xml:space="preserve">DW-statistic = 1.891446  и  p-value </w:t>
      </w:r>
      <w:r>
        <w:rPr>
          <w:rFonts w:ascii="Times New Roman" w:hAnsi="Times New Roman"/>
          <w:color w:val="000000"/>
          <w:sz w:val="28"/>
          <w:szCs w:val="28"/>
        </w:rPr>
        <w:t>&gt; 0,05</w:t>
      </w:r>
      <w:r>
        <w:rPr>
          <w:rFonts w:eastAsia="Times New Roman" w:cs="Times New Roman" w:ascii="Times New Roman" w:hAnsi="Times New Roman"/>
          <w:sz w:val="28"/>
          <w:szCs w:val="20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0"/>
        </w:rPr>
        <w:t>указывают на то, что гипотеза об отсутствии</w:t>
      </w:r>
      <w:r>
        <w:rPr>
          <w:rFonts w:eastAsia="Times New Roman" w:cs="Times New Roman" w:ascii="Times New Roman" w:hAnsi="Times New Roman"/>
          <w:sz w:val="28"/>
          <w:szCs w:val="20"/>
        </w:rPr>
        <w:t xml:space="preserve"> автокорреляции </w:t>
      </w:r>
      <w:r>
        <w:rPr>
          <w:rFonts w:eastAsia="Times New Roman" w:cs="Times New Roman" w:ascii="Times New Roman" w:hAnsi="Times New Roman"/>
          <w:sz w:val="28"/>
          <w:szCs w:val="20"/>
        </w:rPr>
        <w:t>перого порядка не отвергается</w:t>
      </w:r>
      <w:r>
        <w:rPr>
          <w:rFonts w:eastAsia="Times New Roman" w:cs="Times New Roman" w:ascii="Times New Roman" w:hAnsi="Times New Roman"/>
          <w:sz w:val="28"/>
          <w:szCs w:val="20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проверки </w:t>
      </w:r>
      <w:r>
        <w:rPr>
          <w:rFonts w:cs="Times New Roman" w:ascii="Times New Roman" w:hAnsi="Times New Roman"/>
          <w:sz w:val="28"/>
          <w:szCs w:val="28"/>
        </w:rPr>
        <w:t xml:space="preserve">шестого условия </w:t>
      </w:r>
      <w:r>
        <w:rPr>
          <w:rFonts w:cs="Times New Roman" w:ascii="Times New Roman" w:hAnsi="Times New Roman"/>
          <w:sz w:val="28"/>
          <w:szCs w:val="28"/>
        </w:rPr>
        <w:t xml:space="preserve">воспользуемся </w:t>
      </w:r>
      <w:r>
        <w:rPr>
          <w:rFonts w:cs="Times New Roman" w:ascii="Times New Roman" w:hAnsi="Times New Roman"/>
          <w:sz w:val="28"/>
          <w:szCs w:val="28"/>
        </w:rPr>
        <w:t>тестом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Харке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 xml:space="preserve">Бера, </w:t>
      </w:r>
      <w:r>
        <w:rPr>
          <w:rFonts w:cs="Times New Roman" w:ascii="Times New Roman" w:hAnsi="Times New Roman"/>
          <w:color w:val="000000"/>
          <w:sz w:val="28"/>
          <w:szCs w:val="28"/>
        </w:rPr>
        <w:t>который позволит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проверить нормальност</w:t>
      </w:r>
      <w:r>
        <w:rPr>
          <w:rFonts w:cs="Times New Roman" w:ascii="Times New Roman" w:hAnsi="Times New Roman"/>
          <w:color w:val="000000"/>
          <w:sz w:val="28"/>
          <w:szCs w:val="28"/>
        </w:rPr>
        <w:t>ь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распределения остат</w:t>
      </w:r>
      <w:r>
        <w:rPr>
          <w:rFonts w:cs="Times New Roman" w:ascii="Times New Roman" w:hAnsi="Times New Roman"/>
          <w:color w:val="000000"/>
          <w:sz w:val="28"/>
          <w:szCs w:val="28"/>
        </w:rPr>
        <w:t>ков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наличие автокорреляции случайных ошибок регрессионной модели.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  <w:drawing>
          <wp:inline distT="0" distB="0" distL="0" distR="0">
            <wp:extent cx="3030220" cy="3025140"/>
            <wp:effectExtent l="0" t="0" r="0" b="0"/>
            <wp:docPr id="16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Гистограмма</w:t>
      </w:r>
      <w:r>
        <w:rPr>
          <w:rFonts w:cs="Times New Roman" w:ascii="Times New Roman" w:hAnsi="Times New Roman"/>
          <w:sz w:val="28"/>
          <w:szCs w:val="28"/>
        </w:rPr>
        <w:t xml:space="preserve"> остатков модели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Значения статистики JB = 1.7056 и p-value &gt; 0.05 говорят о том, что гипотеза о</w:t>
      </w:r>
      <w:r>
        <w:rPr>
          <w:rFonts w:cs="Times New Roman" w:ascii="Times New Roman" w:hAnsi="Times New Roman"/>
          <w:sz w:val="28"/>
          <w:szCs w:val="28"/>
        </w:rPr>
        <w:t xml:space="preserve"> нормально</w:t>
      </w:r>
      <w:r>
        <w:rPr>
          <w:rFonts w:cs="Times New Roman" w:ascii="Times New Roman" w:hAnsi="Times New Roman"/>
          <w:sz w:val="28"/>
          <w:szCs w:val="28"/>
        </w:rPr>
        <w:t>сти остатков не отвергается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. Тест </w:t>
      </w:r>
      <w:r>
        <w:rPr>
          <w:rFonts w:cs="Times New Roman" w:ascii="Times New Roman" w:hAnsi="Times New Roman"/>
          <w:sz w:val="28"/>
          <w:szCs w:val="28"/>
        </w:rPr>
        <w:t>Харке-Бера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5575" cy="676275"/>
            <wp:effectExtent l="0" t="0" r="0" b="0"/>
            <wp:wrapSquare wrapText="largest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 xml:space="preserve">все условия теоремы Гаусса-Маркова выполняются, следовательно, полученные методом наименьших квадратов оценки являются наилучшими в классе линейных несмещённых оценок.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 xml:space="preserve">остроенная модель пригодна </w:t>
      </w:r>
      <w:r>
        <w:rPr>
          <w:rFonts w:cs="Times New Roman" w:ascii="Times New Roman" w:hAnsi="Times New Roman"/>
          <w:sz w:val="28"/>
          <w:szCs w:val="28"/>
        </w:rPr>
        <w:t xml:space="preserve">является </w:t>
      </w:r>
      <w:r>
        <w:rPr>
          <w:rFonts w:cs="Times New Roman" w:ascii="Times New Roman" w:hAnsi="Times New Roman"/>
          <w:sz w:val="28"/>
          <w:szCs w:val="28"/>
        </w:rPr>
        <w:t xml:space="preserve">подлежит экономической интерпретации: </w:t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8"/>
        <w:jc w:val="center"/>
        <w:rPr>
          <w:rFonts w:ascii="Times New Roman" w:hAnsi="Times New Roman" w:eastAsia="Times New Roman" w:cs="Times New Roman"/>
          <w:b/>
          <w:b/>
          <w:i/>
          <w:i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log(sav) = </w:t>
      </w:r>
      <w:bookmarkStart w:id="7" w:name="rstudio_console_output7"/>
      <w:bookmarkEnd w:id="7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-6.18998  + </w:t>
      </w: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 </w:t>
      </w:r>
      <w:bookmarkStart w:id="8" w:name="rstudio_console_output11"/>
      <w:bookmarkEnd w:id="8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 0.42975 </w:t>
      </w: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* log(grp) + </w:t>
      </w:r>
      <w:bookmarkStart w:id="9" w:name="rstudio_console_output21"/>
      <w:bookmarkEnd w:id="9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0.10421 </w:t>
      </w: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* cpi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увеличением 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алов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ого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 региональн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ого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 продукт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 на душу населения 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на 1%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сбережения домашних хозяйств на душу населения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растут на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0,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%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 соответствующего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 субъекта российской федерации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увеличением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индекс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 потребительских цен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на 1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процент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)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сбережения домашних хозяйств на душу населения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растут на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0,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104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%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 соответствующего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 субъекта российской федерации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Экономия домохозяйств является одним из важнейших элементов хозяйственной деятельности домохозяйств. Сбережения указывают на уровень жизни домохозяйства и формируют ресурсы для финансовых рынков, а также инвестиции в экономику страны. Микроэкономическое значение сбережений домохозяйств очевидно. Они обеспечивают безопасность в стохастической среде, способность зарабатывать проценты, психологическое удовлетворение, а также являются инструментом накопления богатства для домашних хозяйств. Как правило, сбережения домохозяйств оказывают влияние на всю макроэкономическую систему страны. Мы изучили процесс формирования сбережений домохозяйств с помощью эконометрического моделирования, в частности, модели множественной линейной регрессии со сроком исправления ошибок. Эконометрический анализ показал наиболее значимые макроэкономические показатели, которые влияют на формирование сбережений домохозяйств в Украине, включая расходы домохозяйств на потребление и валовой национальный доход. Кроме того, было доказано, что уровни таких макроэкономических показателей, как валовые внутренние сбережения, расходы домохозяйств на потребление и валовой национальный доход, были первого порядка интеграции и имели единичный корень. Мы также интерпретировали значение параметров оценочной модели коррекции ошибок. Постдиагностика разработанной модели показала, что наша модель была гомоскедастичной, не имела последовательной корреляции и ее остатки были нормально распределены. Кроме того, правильная спецификация модели была подтверждена тестом RESET, а ее стабильность была проверена с помощью метода рекурсивных наименьших квадратов. Дополнительно мы проверили гипотезу о структурном разрыве в формировании сбережений населения в Украине после мирового финансового кризиса. В отличие от ожиданий, контрольная точка Чоу доказала структурный разрыв в формировании валовых внутренних сбережений в Украине только в 2010 году. Это может означать, что финансовый кризис оказал влияние на формирование валовых внутренних сбережений. Дальнейшие исследования могут включать анализ влияния событий, которые произошли в Украине после 2013 года, на сбережения домашних хозяйств и другие виды экономической деятельности домашних хозяйств как на макроэкономическом, так и на микроэкономическом уровнях. Научный вклад исследований заключается в эмпирическом определении наиболее значимых макроэкономических показателей, влияющих на сбережения домашних хозяйств. Результаты исследования могут быть интересны для политиков, и предложенная модель может быть практически использована для прогнозирования валовых внутренних сбережений в Украине.</w:t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Различные причины определяют то, что один объект дороже другого и наоборот, а также то, что недвижимость в целом дорожает или дешевеет.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В данной работе проводится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анализ и прогнозирование ценообразования на квартиры г. Москва с использованием эконометрического моделирования.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Предложены факторы, влияющие на ценообразование квартир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г. Москва</w:t>
      </w:r>
      <w:r>
        <w:rPr>
          <w:rFonts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общая площадь квартиры, м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жилая площадь квартиры, м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площадь кухни, м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комнат в квартире, шт.;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расположение квартиры (этаж), этаж.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получили следующую модель: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Cena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0,041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Ploshcuh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0,017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Jilplos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15,51</m:t>
        </m:r>
      </m:oMath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Экономическая интерпретация: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1.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увеличением жилой площади на 1 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увеличивается цена квартиры на 0,017 %.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увеличением площади кухни на 1 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увеличивается цена квартиры на 0,041 %.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Батракова АГ. Сбережения домашних хозяйств: сущность, группировки и роль в современной экономике. Деньги и кредит. 2006(11):66-72.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Доугерти, К. Введение в эконометрику, 3-е изд. — М.: ИНФРА-М, 2001.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Единый архив экономических и социологических данных. — URL: http://sophist.hse.ru/.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Канторович, Г. Г. Лекции: Анализ временных рядов. Экономический журнал Высшей школы экономики, 6(1),  2002.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Магнус Я.Р., Катышев П.К., Пересецкий А.А. Эконометрика. Начальный курс – М.: Дело, 2007. – 400 с.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Мастицкий, С.Э. and Шитиков, В.К., 2014. Статистический анализ и визуализация данных с помощью R. Электронная книга, адрес доступа: http://r-analytics. blogspot. com.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Носко, В. П. Эконометрика. — М.: Дело,  2011.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Резник Г.А., Спирина С.Г. Мотивы формирования сбережений в реформируемом обществе. Социологические исследования. 2006(9):120-2.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«Российский мониторинг экономического положения и здоровья населения НИУ ВШЭ (RLMS-HSE)», проводимый Национальным исследовательским университетом - Высшей школой экономики и ЗАО «Демоскоп» при участии Центра народонаселения Университета Северной Каролины в Чапел Хилле и Института социологии РАН. (Сайты обследования RLMS-HSE: http://www.hse.ru/rlms, http://www.cpc.unc.edu/projects/rlms)».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Федеральная служба государственной статистики — URL: http://www.gks.ru//.</w:t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Приложение 1. Исходные данные.</w:t>
      </w:r>
    </w:p>
    <w:tbl>
      <w:tblPr>
        <w:tblW w:w="953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50"/>
        <w:gridCol w:w="983"/>
        <w:gridCol w:w="1000"/>
        <w:gridCol w:w="900"/>
        <w:gridCol w:w="800"/>
        <w:gridCol w:w="734"/>
        <w:gridCol w:w="616"/>
        <w:gridCol w:w="734"/>
        <w:gridCol w:w="800"/>
        <w:gridCol w:w="816"/>
        <w:gridCol w:w="800"/>
      </w:tblGrid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sav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grp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cons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inc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unemp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cpi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debt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deprub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depcur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inv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Белгородская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87652.4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443086.2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252319.6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28331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215824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68474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23415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95036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Брянская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62975.9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219575.8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241368.1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25362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72657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35208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3790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50641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Владимирская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63309.8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255398.6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221438.2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23729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88074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50756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6875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51030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Воронежская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57634.4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352926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301429.6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29922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265902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123215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15928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113475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Ивановская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58895.5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165496.3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211776.5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22556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41024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31467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8089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24882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Калужская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77527.6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331468.3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254908.4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27703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118047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46701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6978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91777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Костромская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59206.7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241539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210097.3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22442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35996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19535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1902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41881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Курская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66319.8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299723.7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243292.2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25801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165050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34033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3780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65920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Липецкая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54236.5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395476.5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277743.5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27665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97241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48631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6009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100377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Московская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101383.2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441778.2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351040.8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37702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1130498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461300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66568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85764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Орловская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48610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269862.2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225338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22829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56597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28549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2363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62927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Рязанская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65709.7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279032.6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225002.3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24226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89578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45506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5596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47839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Смоленская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61618.2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267334.9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235465.8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24757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64293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35686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4863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57234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Тамбовская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56730.2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326479.9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244337.8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25089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85078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40502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3836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111365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Тверская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44964.4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260478.4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236483.6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23454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60344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51831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6474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56082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Тульская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69460.7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315660.1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246019.3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26290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147828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56596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5519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69953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Ярославская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82502.7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339699.5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245853.3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27363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127730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56568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8485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59317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г. Москва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120625.8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1103453.3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597574.2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59850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7860912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1508069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742640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125866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Карелия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38880.4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334493.5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269723.6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25717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30699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29870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3093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51865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Коми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88279.2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607941.9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302260.8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32545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27854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49124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6807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197456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Архангельская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74236.4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523566.2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316783.6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32585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122244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61743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6263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146111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Вологодская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96952.8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394135.5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210031.2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25582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97913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43322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5001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73245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Калининградская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69518.1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337989.9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240981.9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25875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127528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48376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12093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70953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Ленинградская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32232.1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480298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264731.9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24747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225330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53835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6100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127119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Мурманская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90327.4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510830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351848.6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36848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29783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70482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8536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131399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Новгородская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34239.1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389441.8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275036.9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25773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32859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22814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2795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112340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Псковская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37719.5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204768.6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222800.5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21710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35586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23777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2533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42179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г. Санкт-Петербург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90247.5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580562.9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388972.5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39935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1515584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375274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118115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92811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Адыгея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42537.6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183386.5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229214.4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22646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17703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9388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744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34988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Калмыкия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27527.9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169111.1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143232.1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14230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8101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4234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59380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Крым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1822.5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130569.9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186073.5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15658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2509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-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-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25023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Краснодарский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57250.6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355017.1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319249.4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31375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683633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198231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29115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107029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Астраханская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41551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314459.6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247133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24057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37298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31510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4123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110955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Волгоградская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39188.3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288161.9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221439.7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21719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129827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85810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10161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78455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Ростовская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33130.5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276426.8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285565.5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26558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404461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140800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19277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72997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г. Севастополь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46035.5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92899.6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168548.5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17882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-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-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16088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Дагестан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43580.1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186370.4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277275.9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26738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34473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27534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1766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65791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Ингушетия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82064.4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116007.9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94491.6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14713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117.5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6971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2664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42190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Кабардино-Балкарская Республика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34684.9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145555.1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194539.1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19102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115.3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43643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14831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1554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32883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Карачаево-Черкесская Республика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70880.5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143789.5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136335.5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17268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30225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7348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41944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Северная Осетия – Алания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46505.5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181039.9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217530.5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22003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14479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17991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1237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36134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Чеченская Республика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90655.8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116119.8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184348.2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22917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106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19679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42572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Ставропольский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26796.9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217648.4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248831.1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22969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157995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100871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14677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45081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Башкортостан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52109.8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323572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280650.2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27730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305409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96205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13684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78046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Марий Эл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36795.1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241070.5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185360.9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18513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60314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16293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1532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58737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Мордовия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53224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231878.3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161036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17855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94051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17618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2070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65272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Татарстан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77664.4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474694.5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308195.6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32155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542390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95988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21056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159800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Удмуртская Республика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75336.7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328003.1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218111.3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24454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94214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40491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4518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53942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Чувашская Республика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35161.2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202375.2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184306.8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18289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95553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33183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3477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45036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Пермский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108658.4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397621.4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275857.6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32043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256677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118138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24031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85826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Кировская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53537.9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212548.3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212250.1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22149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57904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35322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3714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42862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Нижегородская область 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89020.8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327474.2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281047.2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30839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360226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131112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19423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71991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Оренбургская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53718.5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387829.7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221729.5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22954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120113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54182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6876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84709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Пензенская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43557.5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248853.4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218270.5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21819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67432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46116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4164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65852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Самарская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57054.5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386473.7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275813.5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27739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347439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147614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44810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94376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Саратовская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45959.6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247963.4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194940.4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20075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152591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81248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9557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56270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Ульяновская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66944.2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239209.8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206403.8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22779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78836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43599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4103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63060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Курганская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50409.4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207554.2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196562.6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20581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31161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20425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1724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32156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Свердловская область 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61532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411077.3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356128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34805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509067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154007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25347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80847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Тюменская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111364.9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1625998.2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387763.1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41594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518059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156514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107294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489902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Челябинская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61615.3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334471.3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233320.7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24578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380843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96120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15595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62086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Алтай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25411.8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194825.4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193636.2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18254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12750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4254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56824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Бурятия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49655.3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208239.8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256104.7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25480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62513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18135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1839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36945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Тыва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43916.8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150258.3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139035.2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15246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3634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3186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41130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Хакасия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25753.7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320095.8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223714.3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20789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15577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10939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55828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Алтайский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44747.4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206712.2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207072.6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20985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130307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64590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10815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32988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Забайкальский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47503.8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229303.6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228256.2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22980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20864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29800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2079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70291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Красноярский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53428.2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565272.3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271795.8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27102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382927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99141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7856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138636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Иркутская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67404.6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419885.1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201935.4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22445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179628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90356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11558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85372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Кемеровская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56810.8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309637.3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205113.2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21827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106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231636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88513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11379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62643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Новосибирская область 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23135.6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356086.5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266976.4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24176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248911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92103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12709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59698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Омская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74140.8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311973.3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235927.2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25839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137361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53204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6871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47626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Томская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80758.7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440395.6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217393.3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24846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75200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31672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5230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97575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Саха (Якутия)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75326.3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782629.4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378333.7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37805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73604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36672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2141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206651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Камчатский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139350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542797.4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352998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41029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28193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20877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3178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72151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Приморский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111523.7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371098.6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284272.3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32983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202065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86279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11661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72085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Хабаровский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82367.5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427651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357084.5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36621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132787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70231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6171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85308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Амурская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81219.1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342762.6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281144.9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30197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32990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26953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2128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126537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Магаданская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186593.3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846400.3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415482.7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50173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17594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15918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1949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412113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Сахалинская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109333.9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1699932.7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485686.1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49585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30302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38772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5618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494963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Еврейская автономная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58214.1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268310.6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234909.9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24427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3607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5150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71826</w:t>
            </w:r>
          </w:p>
        </w:tc>
      </w:tr>
      <w:tr>
        <w:trPr>
          <w:trHeight w:val="311" w:hRule="atLeast"/>
        </w:trPr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Чукотский автономный округ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348999.7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1269343.9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390680.3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61640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5183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5750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290634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Приложение 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Код программы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:</w:t>
      </w:r>
    </w:p>
    <w:p>
      <w:pPr>
        <w:pStyle w:val="Normal"/>
        <w:spacing w:lineRule="auto" w:line="360" w:before="0" w:after="0"/>
        <w:jc w:val="both"/>
        <w:rPr/>
      </w:pPr>
      <w:r>
        <w:rPr/>
        <w:t>my_df &lt;- read.csv(file="savings.csv", header=TRUE, sep=",")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boxplot(my_df[1:4])</w:t>
      </w:r>
    </w:p>
    <w:p>
      <w:pPr>
        <w:pStyle w:val="Normal"/>
        <w:spacing w:lineRule="auto" w:line="360" w:before="0" w:after="0"/>
        <w:jc w:val="both"/>
        <w:rPr/>
      </w:pPr>
      <w:r>
        <w:rPr/>
        <w:t>boxplot(my_df[c(5,6,11,12,13)])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outlier_values &lt;- boxplot.stats(my_df$sav)$out  </w:t>
      </w:r>
    </w:p>
    <w:p>
      <w:pPr>
        <w:pStyle w:val="Normal"/>
        <w:spacing w:lineRule="auto" w:line="360" w:before="0" w:after="0"/>
        <w:jc w:val="both"/>
        <w:rPr/>
      </w:pPr>
      <w:r>
        <w:rPr/>
        <w:t>my_df &lt;- my_df[-which(my_df$sav %in% c(outlier_values, 34684.9, 26796.9)),]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summary(my_df)</w:t>
      </w:r>
    </w:p>
    <w:p>
      <w:pPr>
        <w:pStyle w:val="Normal"/>
        <w:spacing w:lineRule="auto" w:line="360" w:before="0" w:after="0"/>
        <w:jc w:val="both"/>
        <w:rPr/>
      </w:pPr>
      <w:r>
        <w:rPr/>
        <w:t>cor(my_df)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Model1 &lt;- lm(sav ~ grp+cons+inc+unemp+cpi+debt+ deprub  +   depcur    +     inv     +    emp    +     dem       +  migr,data = my_df)</w:t>
      </w:r>
    </w:p>
    <w:p>
      <w:pPr>
        <w:pStyle w:val="Normal"/>
        <w:spacing w:lineRule="auto" w:line="360" w:before="0" w:after="0"/>
        <w:jc w:val="both"/>
        <w:rPr/>
      </w:pPr>
      <w:r>
        <w:rPr/>
        <w:t>summary(Model1)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vif(Model1) 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Model2 &lt;- lm(sav ~ grp+unemp+cpi+ emp + dem +  migr,data = my_df)</w:t>
      </w:r>
    </w:p>
    <w:p>
      <w:pPr>
        <w:pStyle w:val="Normal"/>
        <w:spacing w:lineRule="auto" w:line="360" w:before="0" w:after="0"/>
        <w:jc w:val="both"/>
        <w:rPr/>
      </w:pPr>
      <w:r>
        <w:rPr/>
        <w:t>summary(Model2)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vif(Model2) </w:t>
      </w:r>
    </w:p>
    <w:p>
      <w:pPr>
        <w:pStyle w:val="Normal"/>
        <w:spacing w:lineRule="auto" w:line="360" w:before="0" w:after="0"/>
        <w:jc w:val="both"/>
        <w:rPr/>
      </w:pPr>
      <w:r>
        <w:rPr/>
        <w:t>resettest(Model2, power = 2)</w:t>
      </w:r>
    </w:p>
    <w:p>
      <w:pPr>
        <w:pStyle w:val="Normal"/>
        <w:spacing w:lineRule="auto" w:line="360" w:before="0" w:after="0"/>
        <w:jc w:val="both"/>
        <w:rPr/>
      </w:pPr>
      <w:r>
        <w:rPr/>
        <w:t>durbinWatsonTest(Model2)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Model &lt;-  lm(log(sav) ~ log(grp) + cpi , data = my_df)</w:t>
      </w:r>
    </w:p>
    <w:p>
      <w:pPr>
        <w:pStyle w:val="Normal"/>
        <w:spacing w:lineRule="auto" w:line="360" w:before="0" w:after="0"/>
        <w:jc w:val="both"/>
        <w:rPr/>
      </w:pPr>
      <w:r>
        <w:rPr/>
        <w:t>summary(Model)</w:t>
      </w:r>
    </w:p>
    <w:p>
      <w:pPr>
        <w:pStyle w:val="Normal"/>
        <w:spacing w:lineRule="auto" w:line="360" w:before="0" w:after="0"/>
        <w:jc w:val="both"/>
        <w:rPr/>
      </w:pPr>
      <w:r>
        <w:rPr/>
        <w:t>vif(Model)</w:t>
      </w:r>
    </w:p>
    <w:p>
      <w:pPr>
        <w:pStyle w:val="Normal"/>
        <w:spacing w:lineRule="auto" w:line="360" w:before="0" w:after="0"/>
        <w:jc w:val="both"/>
        <w:rPr/>
      </w:pPr>
      <w:r>
        <w:rPr/>
        <w:t>resettest(Model, power = 2)</w:t>
      </w:r>
    </w:p>
    <w:p>
      <w:pPr>
        <w:pStyle w:val="Normal"/>
        <w:spacing w:lineRule="auto" w:line="360" w:before="0" w:after="0"/>
        <w:jc w:val="both"/>
        <w:rPr/>
      </w:pPr>
      <w:r>
        <w:rPr/>
        <w:t>mean(resid(Model))</w:t>
      </w:r>
    </w:p>
    <w:p>
      <w:pPr>
        <w:pStyle w:val="Normal"/>
        <w:spacing w:lineRule="auto" w:line="360" w:before="0" w:after="0"/>
        <w:jc w:val="both"/>
        <w:rPr/>
      </w:pPr>
      <w:r>
        <w:rPr/>
        <w:t>bptest(Model)</w:t>
      </w:r>
    </w:p>
    <w:p>
      <w:pPr>
        <w:pStyle w:val="Normal"/>
        <w:spacing w:lineRule="auto" w:line="360" w:before="0" w:after="0"/>
        <w:jc w:val="both"/>
        <w:rPr/>
      </w:pPr>
      <w:r>
        <w:rPr/>
        <w:t>df_check &lt;-  data.frame(grp = log(my_df$grp),  cpi=my_df$cpi)</w:t>
      </w:r>
    </w:p>
    <w:p>
      <w:pPr>
        <w:pStyle w:val="Normal"/>
        <w:spacing w:lineRule="auto" w:line="360" w:before="0" w:after="0"/>
        <w:jc w:val="both"/>
        <w:rPr/>
      </w:pPr>
      <w:r>
        <w:rPr/>
        <w:t>cov(resid(Model),df_check)</w:t>
      </w:r>
    </w:p>
    <w:p>
      <w:pPr>
        <w:pStyle w:val="Normal"/>
        <w:spacing w:lineRule="auto" w:line="360" w:before="0" w:after="0"/>
        <w:jc w:val="both"/>
        <w:rPr/>
      </w:pPr>
      <w:r>
        <w:rPr/>
        <w:t>durbinWatsonTest(Model)</w:t>
      </w:r>
    </w:p>
    <w:p>
      <w:pPr>
        <w:pStyle w:val="Normal"/>
        <w:spacing w:lineRule="auto" w:line="360" w:before="0" w:after="0"/>
        <w:jc w:val="both"/>
        <w:rPr/>
      </w:pPr>
      <w:r>
        <w:rPr/>
        <w:t>jb.norm.test(resid(Model))</w:t>
      </w:r>
    </w:p>
    <w:p>
      <w:pPr>
        <w:pStyle w:val="Normal"/>
        <w:spacing w:lineRule="auto" w:line="360" w:before="0" w:after="0"/>
        <w:jc w:val="both"/>
        <w:rPr/>
      </w:pPr>
      <w:r>
        <w:rPr/>
        <w:t>plot(resid(Model))</w:t>
      </w:r>
    </w:p>
    <w:p>
      <w:pPr>
        <w:pStyle w:val="Normal"/>
        <w:spacing w:lineRule="auto" w:line="360" w:before="0" w:after="0"/>
        <w:jc w:val="both"/>
        <w:rPr/>
      </w:pPr>
      <w:r>
        <w:rPr/>
        <w:t>hist(resid(Model))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footerReference w:type="default" r:id="rId21"/>
      <w:type w:val="nextPage"/>
      <w:pgSz w:w="11909" w:h="16834"/>
      <w:pgMar w:left="1701" w:right="851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fldChar w:fldCharType="begin"/>
    </w:r>
    <w:r>
      <w:rPr>
        <w:rFonts w:cs="Times New Roman" w:ascii="Times New Roman" w:hAnsi="Times New Roman"/>
      </w:rPr>
      <w:instrText> PAGE </w:instrText>
    </w:r>
    <w:r>
      <w:rPr>
        <w:rFonts w:cs="Times New Roman" w:ascii="Times New Roman" w:hAnsi="Times New Roman"/>
      </w:rPr>
      <w:fldChar w:fldCharType="separate"/>
    </w:r>
    <w:r>
      <w:rPr>
        <w:rFonts w:cs="Times New Roman" w:ascii="Times New Roman" w:hAnsi="Times New Roman"/>
      </w:rPr>
      <w:t>25</w:t>
    </w:r>
    <w:r>
      <w:rPr>
        <w:rFonts w:cs="Times New Roman" w:ascii="Times New Roman" w:hAnsi="Times New Roman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659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yle12">
    <w:name w:val="Текст сноски Знак"/>
    <w:basedOn w:val="DefaultParagraphFont"/>
    <w:qFormat/>
    <w:rPr>
      <w:sz w:val="20"/>
      <w:szCs w:val="20"/>
    </w:rPr>
  </w:style>
  <w:style w:type="character" w:styleId="Style13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6">
    <w:name w:val="Текст выноски Знак"/>
    <w:basedOn w:val="DefaultParagraphFont"/>
    <w:qFormat/>
    <w:rPr>
      <w:rFonts w:ascii="Lucida Grande CY" w:hAnsi="Lucida Grande CY" w:cs="Lucida Grande CY"/>
      <w:sz w:val="18"/>
      <w:szCs w:val="18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2">
    <w:name w:val="ListLabel 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3">
    <w:name w:val="ListLabel 3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4">
    <w:name w:val="ListLabel 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5">
    <w:name w:val="ListLabel 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6">
    <w:name w:val="ListLabel 6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7">
    <w:name w:val="ListLabel 7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8">
    <w:name w:val="ListLabel 8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9">
    <w:name w:val="ListLabel 9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0">
    <w:name w:val="ListLabel 1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1">
    <w:name w:val="ListLabel 1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2">
    <w:name w:val="ListLabel 1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3">
    <w:name w:val="ListLabel 13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4">
    <w:name w:val="ListLabel 1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5">
    <w:name w:val="ListLabel 1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6">
    <w:name w:val="ListLabel 16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7">
    <w:name w:val="ListLabel 17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8">
    <w:name w:val="ListLabel 18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ascii="Times New Roman" w:hAnsi="Times New Roman" w:cs="Times New Roman"/>
      <w:sz w:val="28"/>
      <w:szCs w:val="28"/>
      <w:lang w:val="en-US"/>
    </w:rPr>
  </w:style>
  <w:style w:type="character" w:styleId="ListLabel35">
    <w:name w:val="ListLabel 35"/>
    <w:qFormat/>
    <w:rPr>
      <w:rFonts w:ascii="Times New Roman" w:hAnsi="Times New Roman" w:cs="Times New Roman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ascii="Times New Roman" w:hAnsi="Times New Roman" w:cs="Wingdings"/>
      <w:sz w:val="28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ascii="Times New Roman" w:hAnsi="Times New Roman" w:cs="Times New Roman"/>
      <w:sz w:val="28"/>
      <w:szCs w:val="28"/>
    </w:rPr>
  </w:style>
  <w:style w:type="character" w:styleId="ListLabel73">
    <w:name w:val="ListLabel 73"/>
    <w:qFormat/>
    <w:rPr>
      <w:rFonts w:ascii="Times New Roman" w:hAnsi="Times New Roman" w:cs="Symbol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cs="Wingdings"/>
      <w:sz w:val="28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Times New Roman" w:hAnsi="Times New Roman" w:cs="OpenSymbol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0" w:after="12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ootnote">
    <w:name w:val="Footnote Text"/>
    <w:basedOn w:val="Normal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phist.hse.ru/" TargetMode="External"/><Relationship Id="rId3" Type="http://schemas.openxmlformats.org/officeDocument/2006/relationships/hyperlink" Target="http://sophist.hse.ru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Application>LibreOffice/6.1.5.2$Linux_X86_64 LibreOffice_project/10$Build-2</Application>
  <Pages>25</Pages>
  <Words>3146</Words>
  <Characters>21017</Characters>
  <CharactersWithSpaces>23162</CharactersWithSpaces>
  <Paragraphs>1086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2019-02-07T08:07:00Z</dcterms:created>
  <dc:creator>Анна</dc:creator>
  <dc:description/>
  <dc:language>en-US</dc:language>
  <cp:lastModifiedBy/>
  <dcterms:modified xsi:type="dcterms:W3CDTF">2019-03-15T14:57:42Z</dcterms:modified>
  <cp:revision>225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