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pBdr>
          <w:bottom w:val="single" w:sz="12" w:space="1" w:color="000000"/>
        </w:pBdr>
      </w:pPr>
    </w:p>
    <w:p>
      <w:pPr>
        <w:jc w:val="center"/>
      </w:pPr>
      <w:r>
        <w:rPr>
          <w:b/>
          <w:color w:val="003366"/>
          <w:sz w:val="32"/>
        </w:rPr>
        <w:t>REGLAMENTO INTERNO DE ORDEN, HIGIENE Y SEGURIDAD</w:t>
      </w:r>
    </w:p>
    <w:p>
      <w:pPr>
        <w:jc w:val="center"/>
      </w:pPr>
      <w:r>
        <w:rPr>
          <w:i/>
          <w:color w:val="444444"/>
          <w:sz w:val="24"/>
        </w:rPr>
        <w:t>{{empresa_nombre}}</w:t>
      </w:r>
    </w:p>
    <w:p>
      <w:pPr>
        <w:jc w:val="center"/>
      </w:pPr>
      <w:r>
        <w:rPr>
          <w:color w:val="808080"/>
          <w:sz w:val="20"/>
        </w:rPr>
        <w:t>Versión 1.0 | Julio 2026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Empresa</w:t>
            </w:r>
          </w:p>
        </w:tc>
        <w:tc>
          <w:tcPr>
            <w:tcW w:type="dxa" w:w="4320"/>
          </w:tcPr>
          <w:p>
            <w:r>
              <w:t>{{empresa_nombre}}</w:t>
            </w:r>
          </w:p>
        </w:tc>
      </w:tr>
      <w:tr>
        <w:tc>
          <w:tcPr>
            <w:tcW w:type="dxa" w:w="4320"/>
          </w:tcPr>
          <w:p>
            <w:r>
              <w:t>RUT</w:t>
            </w:r>
          </w:p>
        </w:tc>
        <w:tc>
          <w:tcPr>
            <w:tcW w:type="dxa" w:w="4320"/>
          </w:tcPr>
          <w:p>
            <w:r>
              <w:t>{{empresa_rut}}</w:t>
            </w:r>
          </w:p>
        </w:tc>
      </w:tr>
      <w:tr>
        <w:tc>
          <w:tcPr>
            <w:tcW w:type="dxa" w:w="4320"/>
          </w:tcPr>
          <w:p>
            <w:r>
              <w:t>Vigencia</w:t>
            </w:r>
          </w:p>
        </w:tc>
        <w:tc>
          <w:tcPr>
            <w:tcW w:type="dxa" w:w="4320"/>
          </w:tcPr>
          <w:p>
            <w:r>
              <w:t>{{fecha_vigencia}}</w:t>
            </w:r>
          </w:p>
        </w:tc>
      </w:tr>
    </w:tbl>
    <w:p>
      <w:pPr>
        <w:pStyle w:val="Heading1"/>
      </w:pPr>
      <w:r>
        <w:t>1. INTRODUCCIÓN</w:t>
      </w:r>
    </w:p>
    <w:p>
      <w:r>
        <w:t>El presente Reglamento Interno de Orden, Higiene y Seguridad (RIOHS) establece las normas, derechos y obligaciones que rigen la relación laboral en {{empresa_nombre}}, conforme a los requisitos del Decreto Supremo 44 y legislación laboral chilena vigente.</w:t>
      </w:r>
    </w:p>
    <w:p>
      <w:pPr>
        <w:pStyle w:val="Heading1"/>
      </w:pPr>
      <w:r>
        <w:t>2. ALCANCE Y APLICABILIDAD</w:t>
      </w:r>
    </w:p>
    <w:p>
      <w:r>
        <w:t>Este reglamento se aplica a:</w:t>
      </w:r>
    </w:p>
    <w:p>
      <w:pPr>
        <w:pStyle w:val="ListBullet"/>
      </w:pPr>
      <w:r>
        <w:t>Todos los trabajadores de planta</w:t>
      </w:r>
    </w:p>
    <w:p>
      <w:pPr>
        <w:pStyle w:val="ListBullet"/>
      </w:pPr>
      <w:r>
        <w:t>Trabajadores contratados y temporales</w:t>
      </w:r>
    </w:p>
    <w:p>
      <w:pPr>
        <w:pStyle w:val="ListBullet"/>
      </w:pPr>
      <w:r>
        <w:t>Contratistas y subcontratistas</w:t>
      </w:r>
    </w:p>
    <w:p>
      <w:pPr>
        <w:pStyle w:val="ListBullet"/>
      </w:pPr>
      <w:r>
        <w:t>Visitantes en nuestras instalaciones</w:t>
      </w:r>
    </w:p>
    <w:p>
      <w:pPr>
        <w:pStyle w:val="Heading1"/>
      </w:pPr>
      <w:r>
        <w:t>3. DERECHOS DE LOS TRABAJADORES</w:t>
      </w:r>
    </w:p>
    <w:p>
      <w:pPr>
        <w:pStyle w:val="ListBullet"/>
      </w:pPr>
      <w:r>
        <w:t>Derecho a un ambiente de trabajo seguro</w:t>
      </w:r>
    </w:p>
    <w:p>
      <w:pPr>
        <w:pStyle w:val="ListBullet"/>
      </w:pPr>
      <w:r>
        <w:t>Derecho a capacitación en prevención de riesgos</w:t>
      </w:r>
    </w:p>
    <w:p>
      <w:pPr>
        <w:pStyle w:val="ListBullet"/>
      </w:pPr>
      <w:r>
        <w:t>Derecho a participar en decisiones de seguridad</w:t>
      </w:r>
    </w:p>
    <w:p>
      <w:pPr>
        <w:pStyle w:val="ListBullet"/>
      </w:pPr>
      <w:r>
        <w:t>Derecho a comunicar peligros sin represalias</w:t>
      </w:r>
    </w:p>
    <w:p>
      <w:pPr>
        <w:pStyle w:val="Heading1"/>
      </w:pPr>
      <w:r>
        <w:t>4. OBLIGACIONES DE LOS TRABAJADORES</w:t>
      </w:r>
    </w:p>
    <w:p>
      <w:pPr>
        <w:pStyle w:val="ListBullet"/>
      </w:pPr>
      <w:r>
        <w:t>Cumplir con normas de seguridad</w:t>
      </w:r>
    </w:p>
    <w:p>
      <w:pPr>
        <w:pStyle w:val="ListBullet"/>
      </w:pPr>
      <w:r>
        <w:t>Usar EPP proporcionado correctamente</w:t>
      </w:r>
    </w:p>
    <w:p>
      <w:pPr>
        <w:pStyle w:val="ListBullet"/>
      </w:pPr>
      <w:r>
        <w:t>Reportar incidentes y peligros</w:t>
      </w:r>
    </w:p>
    <w:p>
      <w:pPr>
        <w:pStyle w:val="ListBullet"/>
      </w:pPr>
      <w:r>
        <w:t>Participar en capacitaciones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color w:val="808080"/>
        <w:sz w:val="18"/>
      </w:rPr>
      <w:t xml:space="preserve">Documento Confidencial - SMART HSE v1.0 | Página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drawing>
        <wp:inline xmlns:a="http://schemas.openxmlformats.org/drawingml/2006/main" xmlns:pic="http://schemas.openxmlformats.org/drawingml/2006/picture">
          <wp:extent cx="1371600" cy="12500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mart_hs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1250066"/>
                  </a:xfrm>
                  <a:prstGeom prst="rect"/>
                </pic:spPr>
              </pic:pic>
            </a:graphicData>
          </a:graphic>
        </wp:inline>
      </w:drawing>
    </w:r>
    <w:r>
      <w:br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