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Georgia" w:hAnsi="Georgia"/>
          <w:b/>
          <w:color w:val="1F3A5F"/>
          <w:sz w:val="40"/>
        </w:rPr>
        <w:t>FIRST 90 DAYS: ESTABLISHING GOVERNANCE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244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9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[ORG]</w:t>
            </w:r>
            <w:r>
              <w:rPr>
                <w:b w:val="0"/>
                <w:i w:val="0"/>
              </w:rPr>
              <w:t>-GOV-CHK-001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1.0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6912"/>
          </w:tcPr>
          <w:p>
            <w:r>
              <w:fldChar w:fldCharType="begin"/>
              <w:fldPr>
                <w:ffData>
                  <w:ffName w:val="CISO"/>
                  <w:ffName w:val="Head of GRC"/>
                </w:ffData>
              </w:fldPr>
              <w:instrText xml:space="preserve"> FORMDROPDOWN </w:instrText>
              <w:fldChar w:fldCharType="separate"/>
              <w:t>CISO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6912"/>
            <w:shd w:val="clear" w:color="auto" w:fill="EAF0F8"/>
          </w:tcPr>
          <w:p>
            <w:r>
              <w:fldChar w:fldCharType="begin"/>
              <w:fldPr>
                <w:ffData>
                  <w:ffName w:val="CEO"/>
                  <w:ffName w:val="Board"/>
                </w:ffData>
              </w:fldPr>
              <w:instrText xml:space="preserve"> FORMDROPDOWN </w:instrText>
              <w:fldChar w:fldCharType="separate"/>
              <w:t>CEO</w:t>
              <w:fldChar w:fldCharType="end"/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6912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One-time plan (track weekly)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Next Review Date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 xml:space="preserve">Day 90: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Internal</w:t>
            </w:r>
          </w:p>
        </w:tc>
      </w:tr>
    </w:tbl>
    <w:p>
      <w:pPr>
        <w:spacing w:after="120"/>
        <w:ind w:left="360"/>
      </w:pPr>
      <w:r>
        <w:rPr>
          <w:b/>
          <w:i/>
        </w:rPr>
        <w:t>Purpose: Phased 90-day plan for establishing information security and</w:t>
      </w:r>
    </w:p>
    <w:p>
      <w:pPr>
        <w:spacing w:after="120"/>
        <w:ind w:left="360"/>
      </w:pPr>
      <w:r>
        <w:rPr>
          <w:b w:val="0"/>
          <w:i/>
        </w:rPr>
        <w:t>GRC governance in a new organization, new role, or new program. Worked</w:t>
      </w:r>
    </w:p>
    <w:p>
      <w:pPr>
        <w:spacing w:after="120"/>
        <w:ind w:left="360"/>
      </w:pPr>
      <w:r>
        <w:rPr>
          <w:b w:val="0"/>
          <w:i/>
        </w:rPr>
        <w:t>through phase by phase; each unchecked box is a risk to governance</w:t>
      </w:r>
    </w:p>
    <w:p>
      <w:pPr>
        <w:spacing w:after="120"/>
        <w:ind w:left="360"/>
      </w:pPr>
      <w:r>
        <w:rPr>
          <w:b w:val="0"/>
          <w:i/>
        </w:rPr>
        <w:t>maturity.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1. PHASE 1 — ASSESS (WEEKS 1-2)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Map stakeholders and existing governance bodies (board, executive, risk)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Inventory applicable obligations (GDPR, NIS2, DORA, EU AI Act, CRA, sector rules)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Assess current state: policies, risk posture, controls, resources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Identify quick wins and critical gaps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2. PHASE 2 — CHARTER (WEEKS 3-4)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Draft governance charter: mandate, membership, cadence, authority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Establish steering committee and meeting schedule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Define RACI for security and risk decisions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Agree risk appetite and reporting lines under the Three Lines Model (IIA 2020)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3. PHASE 3 — POLICIES (WEEKS 5-8)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Draft top-level information security policy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Prioritize subordinate policies from the risk assessment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Route policies through legal, HR, and relevant review bodies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Obtain formal approval and publish with document control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4. PHASE 4 — OPERATE (WEEKS 9-12)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Stand up the risk register and first formal risk assessment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Launch management review cadence (ISO 27001 Clause 9.3)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Begin security awareness training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Report first governance dashboard to the steering committee</w:t>
      </w:r>
    </w:p>
    <w:p>
      <w:pPr>
        <w:spacing w:after="120"/>
        <w:ind w:left="360"/>
      </w:pPr>
      <w:r>
        <w:rPr>
          <w:b/>
          <w:i/>
        </w:rPr>
        <w:t>How to use this template: Work with the sponsor weekly. Escalate any</w:t>
      </w:r>
    </w:p>
    <w:p>
      <w:pPr>
        <w:spacing w:after="120"/>
        <w:ind w:left="360"/>
      </w:pPr>
      <w:r>
        <w:rPr>
          <w:b w:val="0"/>
          <w:i/>
        </w:rPr>
        <w:t>phase not completed on time at the day-30 and day-60 checkpoints. After</w:t>
      </w:r>
    </w:p>
    <w:p>
      <w:pPr>
        <w:spacing w:after="120"/>
        <w:ind w:left="360"/>
      </w:pPr>
      <w:r>
        <w:rPr>
          <w:b w:val="0"/>
          <w:i/>
        </w:rPr>
        <w:t>day 90, transition the plan into the normal governance calendar.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CISO / Head of GRC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Sponsor (Exec)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CEO / Board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Change Description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0.1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Initial draft</w:t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1.0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Approved for release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*Template from "The Governance, Risk and Compliance Architect" (Hendriksen, 2026). Adapt to your organization's context before use.*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forms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