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ACCESS CONTROL POLICY (Level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-ACP-001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ISSC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 Documents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 xml:space="preserve">Information Security Policy </w:t>
            </w:r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-ISP-001 (Level 1); implements Annex A controls A.5.15, A.5.16, A.5.17, A.5.18, A.8.2, A.8.3, A.8.5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Level 2 policy governing how access to information and systems is granted, reviewed, and revoked. It implements the access control requirements of ISO/IEC 27001:2022 Annex A (A.5.15–A.5.18, A.8.2, A.8.3, A.8.5) and traces its authority to the Information Security Policy.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b/>
          <w:i/>
        </w:rPr>
        <w:t>How to use this template: Replace every `</w:t>
      </w:r>
      <w:r>
        <w:rPr>
          <w:i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/>
        </w:rPr>
        <w:t>` field. Keep the review cadence at least quarterly (A.8.3). Route through the ISSC for approval and reference this policy's Document ID in the Statement of Applicability.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PURPOSE</w:t>
      </w:r>
    </w:p>
    <w:p>
      <w:pPr>
        <w:spacing w:after="80" w:before="0"/>
      </w:pPr>
      <w:r>
        <w:rPr>
          <w:b w:val="0"/>
          <w:i w:val="0"/>
          <w:sz w:val="21"/>
        </w:rPr>
        <w:t>1.1. This policy establishes the rules for granting, managing, reviewing, and revoking access to the Organization's information and systems, to protect confidentiality, integrity, and availability (A.5.15).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SCOPE</w:t>
      </w:r>
    </w:p>
    <w:p>
      <w:pPr>
        <w:spacing w:after="80" w:before="0"/>
      </w:pPr>
      <w:r>
        <w:rPr>
          <w:b w:val="0"/>
          <w:i w:val="0"/>
          <w:sz w:val="21"/>
        </w:rPr>
        <w:t xml:space="preserve">2.1. This policy applies to all </w:t>
      </w:r>
      <w:r>
        <w:rPr>
          <w:b w:val="0"/>
          <w:i w:val="0"/>
          <w:sz w:val="21"/>
        </w:rPr>
        <w:t>[employees, contractors, temporary staff, and third parties]</w:t>
      </w:r>
      <w:r>
        <w:rPr>
          <w:b w:val="0"/>
          <w:i w:val="0"/>
          <w:sz w:val="21"/>
        </w:rPr>
        <w:t xml:space="preserve"> accessing </w:t>
      </w:r>
      <w:r>
        <w:rPr>
          <w:b w:val="0"/>
          <w:i w:val="0"/>
          <w:sz w:val="21"/>
        </w:rPr>
        <w:t>[systems, networks, applications, data, physical facilities]</w:t>
      </w:r>
      <w:r>
        <w:rPr>
          <w:b w:val="0"/>
          <w:i w:val="0"/>
          <w:sz w:val="21"/>
        </w:rPr>
        <w:t xml:space="preserve"> owned or operated by </w:t>
      </w:r>
      <w:r>
        <w:rPr>
          <w:b w:val="0"/>
          <w:i w:val="0"/>
          <w:sz w:val="21"/>
        </w:rPr>
        <w:t>[ORG NAME]</w:t>
      </w:r>
      <w:r>
        <w:rPr>
          <w:b w:val="0"/>
          <w:i w:val="0"/>
          <w:sz w:val="21"/>
        </w:rPr>
        <w:t>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ACCOUNT LIFECYCLE (A.5.16, A.5.18)</w:t>
      </w:r>
    </w:p>
    <w:p>
      <w:pPr>
        <w:spacing w:after="80" w:before="0"/>
      </w:pPr>
      <w:r>
        <w:rPr>
          <w:b w:val="0"/>
          <w:i w:val="0"/>
          <w:sz w:val="21"/>
        </w:rPr>
        <w:t>3.1. **Provisioning:** Accounts are created only upon a formal, approved access request from the resource owner. Requests identify the user, the resource, and the access level required. Default is deny; access is granted on a need-to-know basis (A.5.15).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3.2. **Changes:** Role changes, transfers, and promotions trigger an access review of the affected accounts within </w:t>
      </w:r>
      <w:r>
        <w:rPr>
          <w:b w:val="0"/>
          <w:i w:val="0"/>
          <w:sz w:val="21"/>
        </w:rPr>
        <w:t>[5 business days]</w:t>
      </w:r>
      <w:r>
        <w:rPr>
          <w:b w:val="0"/>
          <w:i w:val="0"/>
          <w:sz w:val="21"/>
        </w:rPr>
        <w:t>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3.3. **Deprovisioning:** On termination, access is revoked within </w:t>
      </w:r>
      <w:r>
        <w:rPr>
          <w:b w:val="0"/>
          <w:i w:val="0"/>
          <w:sz w:val="21"/>
        </w:rPr>
        <w:t>[24 hours]</w:t>
      </w:r>
      <w:r>
        <w:rPr>
          <w:b w:val="0"/>
          <w:i w:val="0"/>
          <w:sz w:val="21"/>
        </w:rPr>
        <w:t xml:space="preserve"> of </w:t>
      </w:r>
      <w:r>
        <w:rPr>
          <w:b w:val="0"/>
          <w:i w:val="0"/>
          <w:sz w:val="21"/>
        </w:rPr>
        <w:t>[the notice of termination]</w:t>
      </w:r>
      <w:r>
        <w:rPr>
          <w:b w:val="0"/>
          <w:i w:val="0"/>
          <w:sz w:val="21"/>
        </w:rPr>
        <w:t xml:space="preserve">. On transfer, access to former systems is revoked within </w:t>
      </w:r>
      <w:r>
        <w:rPr>
          <w:b w:val="0"/>
          <w:i w:val="0"/>
          <w:sz w:val="21"/>
        </w:rPr>
        <w:t>[48 hours]</w:t>
      </w:r>
      <w:r>
        <w:rPr>
          <w:b w:val="0"/>
          <w:i w:val="0"/>
          <w:sz w:val="21"/>
        </w:rPr>
        <w:t>. Shared credentials are prohibited; every account maps to one named individual.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LEAST PRIVILEGE AND SEGREGATION OF DUTIES (A.5.15, A.5.3)</w:t>
      </w:r>
    </w:p>
    <w:p>
      <w:pPr>
        <w:spacing w:after="80" w:before="0"/>
      </w:pPr>
      <w:r>
        <w:rPr>
          <w:b w:val="0"/>
          <w:i w:val="0"/>
          <w:sz w:val="21"/>
        </w:rPr>
        <w:t>4.1. Users are granted the minimum access required for their role. Profiles are defined per role and reviewed annually.</w:t>
      </w:r>
    </w:p>
    <w:p>
      <w:pPr>
        <w:spacing w:after="80" w:before="0"/>
      </w:pPr>
      <w:r>
        <w:rPr>
          <w:b w:val="0"/>
          <w:i w:val="0"/>
          <w:sz w:val="21"/>
        </w:rPr>
        <w:t>4.2. Segregation of duties (A.5.3) is enforced for conflicting tasks — for example, a user who requests access must not also approve it; payment initiators and approvers must differ. Conflicts are identified in the access review and compensating controls documented where unavoidable.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ACCESS REVIEW (A.5.18, A.8.3)</w:t>
      </w:r>
    </w:p>
    <w:p>
      <w:pPr>
        <w:spacing w:after="80" w:before="0"/>
      </w:pPr>
      <w:r>
        <w:rPr>
          <w:b w:val="0"/>
          <w:i w:val="0"/>
          <w:sz w:val="21"/>
        </w:rPr>
        <w:t>5.1. Access rights are reviewed at least **quarterly** (A.8.3). Reviews confirm each access right is still required and appropriate.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Review Type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Scope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Cadence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Standard user review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All user accounts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Quarterly</w:t>
            </w:r>
          </w:p>
        </w:tc>
        <w:tc>
          <w:tcPr>
            <w:tcW w:type="dxa" w:w="2401"/>
          </w:tcPr>
          <w:p>
            <w:r/>
            <w:r>
              <w:fldChar w:fldCharType="begin"/>
              <w:fldPr>
                <w:ffData>
                  <w:ffName w:val="IT"/>
                  <w:ffName w:val="Line managers"/>
                </w:ffData>
              </w:fldPr>
              <w:instrText xml:space="preserve"> FORMDROPDOWN </w:instrText>
              <w:fldChar w:fldCharType="separate"/>
              <w:t>IT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Privileged review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Privileged accounts (A.8.2)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Monthly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fldChar w:fldCharType="begin"/>
              <w:fldPr>
                <w:ffData>
                  <w:ffName w:val="CISO"/>
                  <w:ffName w:val="Security"/>
                </w:ffData>
              </w:fldPr>
              <w:instrText xml:space="preserve"> FORMDROPDOWN </w:instrText>
              <w:fldChar w:fldCharType="separate"/>
              <w:t>CISO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SoD conflict check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Sensitive functions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Quarterly</w:t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[Compliance]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 xml:space="preserve">5.2. Review results are documented; excessive or stale rights are removed within </w:t>
      </w:r>
      <w:r>
        <w:rPr>
          <w:b w:val="0"/>
          <w:i w:val="0"/>
          <w:sz w:val="21"/>
        </w:rPr>
        <w:t>[10 business days]</w:t>
      </w:r>
      <w:r>
        <w:rPr>
          <w:b w:val="0"/>
          <w:i w:val="0"/>
          <w:sz w:val="21"/>
        </w:rPr>
        <w:t>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PRIVILEGED ACCESS MANAGEMENT (A.8.2)</w:t>
      </w:r>
    </w:p>
    <w:p>
      <w:pPr>
        <w:spacing w:after="80" w:before="0"/>
      </w:pPr>
      <w:r>
        <w:rPr>
          <w:b w:val="0"/>
          <w:i w:val="0"/>
          <w:sz w:val="21"/>
        </w:rPr>
        <w:t>6.1. Privileged access is granted only with ISSC- or CISO-level approval, for a stated purpose, and with a defined expiry.</w:t>
      </w:r>
    </w:p>
    <w:p>
      <w:pPr>
        <w:spacing w:after="80" w:before="0"/>
      </w:pPr>
      <w:r>
        <w:rPr>
          <w:b w:val="0"/>
          <w:i w:val="0"/>
          <w:sz w:val="21"/>
        </w:rPr>
        <w:t>6.2. Privileged accounts are: individually attributable (no shared root/admin), monitored and logged, and reviewed monthly. A privileged access management (PAM) solution is used to vault, rotate, and session-record credentials (</w:t>
      </w:r>
      <w:r>
        <w:rPr>
          <w:b w:val="0"/>
          <w:i w:val="0"/>
          <w:sz w:val="21"/>
        </w:rPr>
        <w:t xml:space="preserve">tool: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).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AUTHENTICATION (A.5.17, A.8.5)</w:t>
      </w:r>
    </w:p>
    <w:p>
      <w:pPr>
        <w:spacing w:after="80" w:before="0"/>
      </w:pPr>
      <w:r>
        <w:rPr>
          <w:b w:val="0"/>
          <w:i w:val="0"/>
          <w:sz w:val="21"/>
        </w:rPr>
        <w:t>7.1. Authentication information is never shared or written down; initial passwords are unique, and forced change is enforced at first login (A.5.17).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7.2. Multi-factor authentication (MFA) is required for: all remote access, all privileged access, and all access to </w:t>
      </w:r>
      <w:r>
        <w:rPr>
          <w:b w:val="0"/>
          <w:i w:val="0"/>
          <w:sz w:val="21"/>
        </w:rPr>
        <w:t xml:space="preserve">critical systems: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 (A.8.5).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7.3. Password rules follow </w:t>
      </w:r>
      <w:r>
        <w:rPr>
          <w:b w:val="0"/>
          <w:i w:val="0"/>
          <w:sz w:val="21"/>
        </w:rPr>
        <w:t>[the Organization's password standard]</w:t>
      </w:r>
      <w:r>
        <w:rPr>
          <w:b w:val="0"/>
          <w:i w:val="0"/>
          <w:sz w:val="21"/>
        </w:rPr>
        <w:t xml:space="preserve">: minimum </w:t>
      </w:r>
      <w:r>
        <w:rPr>
          <w:b w:val="0"/>
          <w:i w:val="0"/>
          <w:sz w:val="21"/>
        </w:rPr>
        <w:t>[12]</w:t>
      </w:r>
      <w:r>
        <w:rPr>
          <w:b w:val="0"/>
          <w:i w:val="0"/>
          <w:sz w:val="21"/>
        </w:rPr>
        <w:t xml:space="preserve"> characters, </w:t>
      </w:r>
      <w:r>
        <w:rPr>
          <w:b w:val="0"/>
          <w:i w:val="0"/>
          <w:sz w:val="21"/>
        </w:rPr>
        <w:t>[MFA where available]</w:t>
      </w:r>
      <w:r>
        <w:rPr>
          <w:b w:val="0"/>
          <w:i w:val="0"/>
          <w:sz w:val="21"/>
        </w:rPr>
        <w:t xml:space="preserve">, and </w:t>
      </w:r>
      <w:r>
        <w:rPr>
          <w:b w:val="0"/>
          <w:i w:val="0"/>
          <w:sz w:val="21"/>
        </w:rPr>
        <w:t>[lockout after 5 failed attempts]</w:t>
      </w:r>
      <w:r>
        <w:rPr>
          <w:b w:val="0"/>
          <w:i w:val="0"/>
          <w:sz w:val="21"/>
        </w:rPr>
        <w:t>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8. REMOTE ACCESS</w:t>
      </w:r>
    </w:p>
    <w:p>
      <w:pPr>
        <w:spacing w:after="80" w:before="0"/>
      </w:pPr>
      <w:r>
        <w:rPr>
          <w:b w:val="0"/>
          <w:i w:val="0"/>
          <w:sz w:val="21"/>
        </w:rPr>
        <w:t xml:space="preserve">8.1. Remote access is permitted only through the approved channel </w:t>
      </w:r>
      <w:r>
        <w:rPr>
          <w:b w:val="0"/>
          <w:i w:val="0"/>
          <w:sz w:val="21"/>
        </w:rPr>
        <w:t xml:space="preserve">VPN / zero-trust gateway: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 xml:space="preserve"> with MFA, per this policy and the Remote Access Procedure.</w:t>
      </w:r>
    </w:p>
    <w:p>
      <w:pPr>
        <w:spacing w:after="80" w:before="0"/>
      </w:pPr>
      <w:r>
        <w:rPr>
          <w:b w:val="0"/>
          <w:i w:val="0"/>
          <w:sz w:val="21"/>
        </w:rPr>
        <w:t>8.2. The remote access solution is patched and logged; remote sessions are subject to the same access reviews as on-site access.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9. EXCEPTIONS</w:t>
      </w:r>
    </w:p>
    <w:p>
      <w:pPr>
        <w:spacing w:after="80" w:before="0"/>
      </w:pPr>
      <w:r>
        <w:rPr>
          <w:b w:val="0"/>
          <w:i w:val="0"/>
          <w:sz w:val="21"/>
        </w:rPr>
        <w:t>9.1. Any deviation from this policy requires a documented Policy Exception Request (</w:t>
      </w:r>
      <w:r>
        <w:rPr>
          <w:b w:val="0"/>
          <w:i w:val="0"/>
          <w:sz w:val="21"/>
        </w:rPr>
        <w:t>[ORG]</w:t>
      </w:r>
      <w:r>
        <w:rPr>
          <w:b w:val="0"/>
          <w:i w:val="0"/>
          <w:sz w:val="21"/>
        </w:rPr>
        <w:t>-EXC-001), including compensating controls, a risk assessment, and ISSC approval for critical exceptions.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10. ENFORCEMENT AND REVIEW</w:t>
      </w:r>
    </w:p>
    <w:p>
      <w:pPr>
        <w:spacing w:after="80" w:before="0"/>
      </w:pPr>
      <w:r>
        <w:rPr>
          <w:b w:val="0"/>
          <w:i w:val="0"/>
          <w:sz w:val="21"/>
        </w:rPr>
        <w:t>10.1. Non-compliance is reported to the CISO and may be escalated to the ISSC and HR as appropriate.</w:t>
      </w:r>
    </w:p>
    <w:p>
      <w:pPr>
        <w:spacing w:after="80" w:before="0"/>
      </w:pPr>
      <w:r>
        <w:rPr>
          <w:b w:val="0"/>
          <w:i w:val="0"/>
          <w:sz w:val="21"/>
        </w:rPr>
        <w:t>10.2. This policy is reviewed annually or upon significant change (Clause 7.5); changes are approved by the ISSC.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CISO / Policy Owner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ISSC Chair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by ISSC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