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GOVERNANCE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-GOV-003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ISSC Chair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Annual, or before formalizing the ISMS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Assesses whether governance is mature enough to formalize — before the ISSC is chartered and before policies are signed. Each unchecked item is a gap to close first.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b/>
          <w:i/>
        </w:rPr>
        <w:t>How to use this template: Complete honestly with the CEO or executive sponsor. Assign one owner per gap, record gaps in the risk register, and re-run the checklist before formal launch and annually thereafter.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LEADERSHIP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CEO sponsorship is explicit and communicated to the organization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Management commitment statement drafted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Security reporting line to senior management defined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Risk appetite statement approved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STRUCTURE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ISSC established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ISSC charter signed by the CEO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Membership defined by role (not individual), with voting rights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Meeting cadence and quorum rules agreed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Minute-taking and document control process in place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POLICIES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Policy architecture defined (Level 1 top-level, Level 2 domain, Level 3 procedural)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Information Security Policy (Level 1) drafted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Required Level 2 policies identified and owners assigned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Document control (version, owner, review cycle) applied to every policy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Policy communication and acknowledgement process defined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RISK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Risk register exists and is populated with initial risks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Risk Assessment Methodology (RAM) adopted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Risk owners assigned to all material risks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Risk treatment plan in place with dates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ROLES, REPORTING, AND METRICS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RACI defined for key processes (risk assessment, incident response, access management)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Reporting cadence agreed (ISSC monthly, executive quarterly)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Metrics defined (KPIs and KRIs, e.g., % access reviews completed, time to patch)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Baseline metric values collected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GAP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Domain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Items Complete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Open Gaps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Gap Owner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Target Close Date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Leadership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>/4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Structure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>/5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Policies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>/5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Risk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>/4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Roles, Reporting, Metrics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>/4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 xml:space="preserve">6.1. Overall verdict: </w:t>
      </w:r>
      <w:r>
        <w:rPr>
          <w:b w:val="0"/>
          <w:i w:val="0"/>
          <w:sz w:val="21"/>
        </w:rPr>
        <w:fldChar w:fldCharType="begin"/>
        <w:fldPr>
          <w:ffData>
            <w:ffName w:val="Ready to formalize"/>
            <w:ffName w:val="Not ready — gaps must close before launch"/>
          </w:ffData>
        </w:fldPr>
        <w:instrText xml:space="preserve"> FORMDROPDOWN </w:instrText>
        <w:fldChar w:fldCharType="separate"/>
        <w:t>Ready to formalize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ISSC Chair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