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Georgia" w:hAnsi="Georgia"/>
          <w:b/>
          <w:color w:val="1F3A5F"/>
          <w:sz w:val="40"/>
        </w:rPr>
        <w:t>INFORMATION SECURITY STEERING COMMITTEE (ISSC) CHARTER</w:t>
      </w:r>
    </w:p>
    <w:tbl>
      <w:tblPr>
        <w:tblW w:type="auto" w:w="0"/>
        <w:jc w:val="center"/>
        <w:tblLook w:firstColumn="1" w:firstRow="1" w:lastColumn="0" w:lastRow="0" w:noHBand="0" w:noVBand="1" w:val="04A0"/>
        <w:tblBorders>
          <w:top w:val="single" w:sz="4" w:space="0" w:color="B8C4D8"/>
          <w:left w:val="single" w:sz="4" w:space="0" w:color="B8C4D8"/>
          <w:bottom w:val="single" w:sz="4" w:space="0" w:color="B8C4D8"/>
          <w:right w:val="single" w:sz="4" w:space="0" w:color="B8C4D8"/>
          <w:insideH w:val="single" w:sz="4" w:space="0" w:color="B8C4D8"/>
          <w:insideV w:val="single" w:sz="4" w:space="0" w:color="B8C4D8"/>
        </w:tblBorders>
      </w:tblPr>
      <w:tblGrid>
        <w:gridCol w:w="4802"/>
        <w:gridCol w:w="4802"/>
      </w:tblGrid>
      <w:tr>
        <w:tc>
          <w:tcPr>
            <w:tcW w:type="dxa" w:w="2448"/>
            <w:shd w:val="clear" w:color="auto" w:fill="1F3A5F"/>
          </w:tcPr>
          <w:p>
            <w:r>
              <w:rPr>
                <w:b/>
                <w:color w:val="FFFFFF"/>
                <w:sz w:val="20"/>
              </w:rPr>
              <w:t>Field</w:t>
            </w:r>
          </w:p>
        </w:tc>
        <w:tc>
          <w:tcPr>
            <w:tcW w:type="dxa" w:w="6912"/>
            <w:shd w:val="clear" w:color="auto" w:fill="1F3A5F"/>
          </w:tcPr>
          <w:p>
            <w:r>
              <w:rPr>
                <w:b/>
                <w:color w:val="FFFFFF"/>
                <w:sz w:val="20"/>
              </w:rPr>
              <w:t>Details</w:t>
            </w:r>
          </w:p>
        </w:tc>
      </w:tr>
      <w:tr>
        <w:tc>
          <w:tcPr>
            <w:tcW w:type="dxa" w:w="2448"/>
          </w:tcPr>
          <w:p>
            <w:r>
              <w:rPr>
                <w:b/>
                <w:sz w:val="20"/>
              </w:rPr>
              <w:t>Document ID</w:t>
            </w:r>
          </w:p>
        </w:tc>
        <w:tc>
          <w:tcPr>
            <w:tcW w:type="dxa" w:w="6912"/>
          </w:tcPr>
          <w:p>
            <w:r>
              <w:rPr>
                <w:b w:val="0"/>
                <w:i w:val="0"/>
              </w:rPr>
              <w:t>[ORG]</w:t>
            </w:r>
            <w:r>
              <w:rPr>
                <w:b w:val="0"/>
                <w:i w:val="0"/>
              </w:rPr>
              <w:t>-GOV-001</w:t>
            </w:r>
          </w:p>
        </w:tc>
      </w:tr>
      <w:tr>
        <w:tc>
          <w:tcPr>
            <w:tcW w:type="dxa" w:w="2448"/>
            <w:shd w:val="clear" w:color="auto" w:fill="EAF0F8"/>
          </w:tcPr>
          <w:p>
            <w:r>
              <w:rPr>
                <w:b/>
                <w:sz w:val="20"/>
              </w:rPr>
              <w:t>Version</w:t>
            </w:r>
          </w:p>
        </w:tc>
        <w:tc>
          <w:tcPr>
            <w:tcW w:type="dxa" w:w="6912"/>
            <w:shd w:val="clear" w:color="auto" w:fill="EAF0F8"/>
          </w:tcPr>
          <w:p>
            <w:r>
              <w:rPr>
                <w:b w:val="0"/>
                <w:i w:val="0"/>
              </w:rPr>
              <w:t>1.0</w:t>
            </w:r>
          </w:p>
        </w:tc>
      </w:tr>
      <w:tr>
        <w:tc>
          <w:tcPr>
            <w:tcW w:type="dxa" w:w="2448"/>
          </w:tcPr>
          <w:p>
            <w:r>
              <w:rPr>
                <w:b/>
                <w:sz w:val="20"/>
              </w:rPr>
              <w:t>Owner</w:t>
            </w:r>
          </w:p>
        </w:tc>
        <w:tc>
          <w:tcPr>
            <w:tcW w:type="dxa" w:w="6912"/>
          </w:tcPr>
          <w:p>
            <w:r>
              <w:rPr>
                <w:b w:val="0"/>
                <w:i w:val="0"/>
              </w:rPr>
              <w:t>ISSC Chair (</w:t>
            </w:r>
            <w:r>
              <w:fldChar w:fldCharType="begin"/>
              <w:fldPr>
                <w:ffData>
                  <w:ffName w:val="Role"/>
                  <w:ffName w:val="Name"/>
                </w:ffData>
              </w:fldPr>
              <w:instrText xml:space="preserve"> FORMDROPDOWN </w:instrText>
              <w:fldChar w:fldCharType="separate"/>
              <w:t>Role</w:t>
              <w:fldChar w:fldCharType="end"/>
            </w:r>
            <w:r>
              <w:rPr>
                <w:b w:val="0"/>
                <w:i w:val="0"/>
              </w:rPr>
              <w:t>)</w:t>
            </w:r>
          </w:p>
        </w:tc>
      </w:tr>
      <w:tr>
        <w:tc>
          <w:tcPr>
            <w:tcW w:type="dxa" w:w="2448"/>
            <w:shd w:val="clear" w:color="auto" w:fill="EAF0F8"/>
          </w:tcPr>
          <w:p>
            <w:r>
              <w:rPr>
                <w:b/>
                <w:sz w:val="20"/>
              </w:rPr>
              <w:t>Approved By</w:t>
            </w:r>
          </w:p>
        </w:tc>
        <w:tc>
          <w:tcPr>
            <w:tcW w:type="dxa" w:w="6912"/>
            <w:shd w:val="clear" w:color="auto" w:fill="EAF0F8"/>
          </w:tcPr>
          <w:p>
            <w:r>
              <w:rPr>
                <w:b w:val="0"/>
                <w:i w:val="0"/>
              </w:rPr>
              <w:t>Chief Executive Officer</w:t>
            </w:r>
          </w:p>
        </w:tc>
      </w:tr>
      <w:tr>
        <w:tc>
          <w:tcPr>
            <w:tcW w:type="dxa" w:w="2448"/>
          </w:tcPr>
          <w:p>
            <w:r>
              <w:rPr>
                <w:b/>
                <w:sz w:val="20"/>
              </w:rPr>
              <w:t>Effective Date</w:t>
            </w:r>
          </w:p>
        </w:tc>
        <w:tc>
          <w:tcPr>
            <w:tcW w:type="dxa" w:w="6912"/>
          </w:tcPr>
          <w:p>
            <w:r>
              <w:rPr>
                <w:u/>
              </w:rPr>
              <w:fldChar w:fldCharType="begin"/>
              <w:instrText xml:space="preserve"> FORMTEXT </w:instrText>
              <w:fldChar w:fldCharType="separate"/>
              <w:t>                             </w:t>
              <w:fldChar w:fldCharType="end"/>
            </w:r>
          </w:p>
        </w:tc>
      </w:tr>
      <w:tr>
        <w:tc>
          <w:tcPr>
            <w:tcW w:type="dxa" w:w="2448"/>
            <w:shd w:val="clear" w:color="auto" w:fill="EAF0F8"/>
          </w:tcPr>
          <w:p>
            <w:r>
              <w:rPr>
                <w:b/>
                <w:sz w:val="20"/>
              </w:rPr>
              <w:t>Review Cycle</w:t>
            </w:r>
          </w:p>
        </w:tc>
        <w:tc>
          <w:tcPr>
            <w:tcW w:type="dxa" w:w="6912"/>
            <w:shd w:val="clear" w:color="auto" w:fill="EAF0F8"/>
          </w:tcPr>
          <w:p>
            <w:r>
              <w:rPr>
                <w:b w:val="0"/>
                <w:i w:val="0"/>
              </w:rPr>
              <w:t>Annual</w:t>
            </w:r>
          </w:p>
        </w:tc>
      </w:tr>
      <w:tr>
        <w:tc>
          <w:tcPr>
            <w:tcW w:type="dxa" w:w="2448"/>
          </w:tcPr>
          <w:p>
            <w:r>
              <w:rPr>
                <w:b/>
                <w:sz w:val="20"/>
              </w:rPr>
              <w:t>Related Documents</w:t>
            </w:r>
          </w:p>
        </w:tc>
        <w:tc>
          <w:tcPr>
            <w:tcW w:type="dxa" w:w="6912"/>
          </w:tcPr>
          <w:p>
            <w:r>
              <w:rPr>
                <w:b w:val="0"/>
                <w:i w:val="0"/>
              </w:rPr>
              <w:t xml:space="preserve">Information Security Policy </w:t>
            </w:r>
            <w:r>
              <w:rPr>
                <w:b w:val="0"/>
                <w:i w:val="0"/>
              </w:rPr>
              <w:t>[ORG]</w:t>
            </w:r>
            <w:r>
              <w:rPr>
                <w:b w:val="0"/>
                <w:i w:val="0"/>
              </w:rPr>
              <w:t xml:space="preserve">-ISP-001; ISSC Meeting Minutes </w:t>
            </w:r>
            <w:r>
              <w:rPr>
                <w:b w:val="0"/>
                <w:i w:val="0"/>
              </w:rPr>
              <w:t>[ORG]</w:t>
            </w:r>
            <w:r>
              <w:rPr>
                <w:b w:val="0"/>
                <w:i w:val="0"/>
              </w:rPr>
              <w:t>-GOV-002; Risk Register</w:t>
            </w:r>
          </w:p>
        </w:tc>
      </w:tr>
    </w:tbl>
    <w:p>
      <w:pPr>
        <w:spacing w:after="120"/>
        <w:ind w:left="360"/>
      </w:pPr>
      <w:r>
        <w:rPr>
          <w:b/>
          <w:i/>
        </w:rPr>
        <w:t>Purpose: This charter establishes the mandate, authority, membership, and operating rules of the Information Security Steering Committee (ISSC). It is the document that makes security governance auditable: who decides, how they meet, and what they oversee.</w:t>
      </w:r>
    </w:p>
    <w:p>
      <w:pPr>
        <w:spacing w:after="120"/>
        <w:ind w:left="360"/>
      </w:pPr>
    </w:p>
    <w:p>
      <w:pPr>
        <w:spacing w:after="120"/>
        <w:ind w:left="360"/>
      </w:pPr>
      <w:r>
        <w:rPr>
          <w:b/>
          <w:i/>
        </w:rPr>
        <w:t>How to use this template: Replace every `</w:t>
      </w:r>
      <w:r>
        <w:rPr>
          <w:i/>
          <w:u/>
        </w:rPr>
        <w:fldChar w:fldCharType="begin"/>
        <w:instrText xml:space="preserve"> FORMTEXT </w:instrText>
        <w:fldChar w:fldCharType="separate"/>
        <w:t>                             </w:t>
        <w:fldChar w:fldCharType="end"/>
      </w:r>
      <w:r>
        <w:rPr>
          <w:b w:val="0"/>
          <w:i/>
        </w:rPr>
        <w:t>` field. Make the membership table role-based, not name-based, so the charter survives staff changes. Have the CEO sign the APPROVAL block before the first meeting. Review annually or when the ISMS scope changes.</w:t>
      </w:r>
    </w:p>
    <w:p>
      <w:pPr>
        <w:spacing w:before="160" w:after="120"/>
      </w:pPr>
      <w:r>
        <w:rPr>
          <w:rFonts w:ascii="Georgia" w:hAnsi="Georgia"/>
          <w:b/>
          <w:color w:val="1F3A5F"/>
          <w:sz w:val="28"/>
        </w:rPr>
        <w:t>1. PURPOSE</w:t>
      </w:r>
    </w:p>
    <w:p>
      <w:pPr>
        <w:spacing w:after="80" w:before="0"/>
      </w:pPr>
      <w:r>
        <w:rPr>
          <w:b w:val="0"/>
          <w:i w:val="0"/>
          <w:sz w:val="21"/>
        </w:rPr>
        <w:t xml:space="preserve">1.1. The ISSC is the senior management body that oversees the Information Security Management System (ISMS) of </w:t>
      </w:r>
      <w:r>
        <w:rPr>
          <w:b w:val="0"/>
          <w:i w:val="0"/>
          <w:sz w:val="21"/>
        </w:rPr>
        <w:t>[ORG NAME]</w:t>
      </w:r>
      <w:r>
        <w:rPr>
          <w:b w:val="0"/>
          <w:i w:val="0"/>
          <w:sz w:val="21"/>
        </w:rPr>
        <w:t xml:space="preserve"> ("the Organization").</w:t>
      </w:r>
    </w:p>
    <w:p>
      <w:pPr>
        <w:spacing w:after="80" w:before="0"/>
      </w:pPr>
      <w:r>
        <w:rPr>
          <w:b w:val="0"/>
          <w:i w:val="0"/>
          <w:sz w:val="21"/>
        </w:rPr>
        <w:t>1.2. The ISSC ensures that information security risk is managed in line with the Organization's risk appetite, that the security program is adequately resourced, and that progress and issues are visible to executive leadership.</w:t>
      </w:r>
    </w:p>
    <w:p>
      <w:pPr>
        <w:spacing w:before="160" w:after="120"/>
      </w:pPr>
      <w:r>
        <w:rPr>
          <w:rFonts w:ascii="Georgia" w:hAnsi="Georgia"/>
          <w:b/>
          <w:color w:val="1F3A5F"/>
          <w:sz w:val="28"/>
        </w:rPr>
        <w:t>2. AUTHORITY</w:t>
      </w:r>
    </w:p>
    <w:p>
      <w:pPr>
        <w:spacing w:after="80" w:before="0"/>
      </w:pPr>
      <w:r>
        <w:rPr>
          <w:b w:val="0"/>
          <w:i w:val="0"/>
          <w:sz w:val="21"/>
        </w:rPr>
        <w:t>2.1. The ISSC derives its authority from Section 3.3 of the Information Security Policy (</w:t>
      </w:r>
      <w:r>
        <w:rPr>
          <w:b w:val="0"/>
          <w:i w:val="0"/>
          <w:sz w:val="21"/>
        </w:rPr>
        <w:t>[ORG]</w:t>
      </w:r>
      <w:r>
        <w:rPr>
          <w:b w:val="0"/>
          <w:i w:val="0"/>
          <w:sz w:val="21"/>
        </w:rPr>
        <w:t>-ISP-001), which establishes the committee and its oversight role. All ISSC decisions trace to that delegation.</w:t>
      </w:r>
    </w:p>
    <w:p>
      <w:pPr>
        <w:spacing w:after="80" w:before="0"/>
      </w:pPr>
      <w:r>
        <w:rPr>
          <w:b w:val="0"/>
          <w:i w:val="0"/>
          <w:sz w:val="21"/>
        </w:rPr>
        <w:t>2.2. In the IIA Three Lines Model, the ISSC operates between the governing body and management: it provides the governance oversight delegated by the CEO, while day-to-day security operations remain with the CISO (first line) and risk/compliance functions (second line). Internal audit (third line) observes but does not vote.</w:t>
      </w:r>
    </w:p>
    <w:p>
      <w:pPr>
        <w:spacing w:after="80" w:before="0"/>
      </w:pPr>
      <w:r>
        <w:rPr>
          <w:b w:val="0"/>
          <w:i w:val="0"/>
          <w:sz w:val="21"/>
        </w:rPr>
        <w:t>2.3. The ISSC reports to the Chief Executive Officer and escalates risks, decisions, and resource requests that exceed its authority.</w:t>
      </w:r>
    </w:p>
    <w:p>
      <w:pPr>
        <w:spacing w:before="160" w:after="120"/>
      </w:pPr>
      <w:r>
        <w:rPr>
          <w:rFonts w:ascii="Georgia" w:hAnsi="Georgia"/>
          <w:b/>
          <w:color w:val="1F3A5F"/>
          <w:sz w:val="28"/>
        </w:rPr>
        <w:t>3. MEMBERSHIP</w:t>
      </w:r>
    </w:p>
    <w:p>
      <w:pPr>
        <w:spacing w:after="80" w:before="0"/>
      </w:pPr>
      <w:r>
        <w:rPr>
          <w:b w:val="0"/>
          <w:i w:val="0"/>
          <w:sz w:val="21"/>
        </w:rPr>
        <w:t>3.1. Membership is by role, not by individual name.</w:t>
      </w:r>
    </w:p>
    <w:tbl>
      <w:tblPr>
        <w:tblW w:type="auto" w:w="0"/>
        <w:jc w:val="center"/>
        <w:tblLook w:firstColumn="1" w:firstRow="1" w:lastColumn="0" w:lastRow="0" w:noHBand="0" w:noVBand="1" w:val="04A0"/>
        <w:tblBorders>
          <w:top w:val="single" w:sz="4" w:space="0" w:color="B8C4D8"/>
          <w:left w:val="single" w:sz="4" w:space="0" w:color="B8C4D8"/>
          <w:bottom w:val="single" w:sz="4" w:space="0" w:color="B8C4D8"/>
          <w:right w:val="single" w:sz="4" w:space="0" w:color="B8C4D8"/>
          <w:insideH w:val="single" w:sz="4" w:space="0" w:color="B8C4D8"/>
          <w:insideV w:val="single" w:sz="4" w:space="0" w:color="B8C4D8"/>
        </w:tblBorders>
      </w:tblPr>
      <w:tblGrid>
        <w:gridCol w:w="3202"/>
        <w:gridCol w:w="3202"/>
        <w:gridCol w:w="3202"/>
      </w:tblGrid>
      <w:tr>
        <w:tc>
          <w:tcPr>
            <w:tcW w:type="dxa" w:w="3202"/>
            <w:shd w:val="clear" w:color="auto" w:fill="1F3A5F"/>
          </w:tcPr>
          <w:p>
            <w:r>
              <w:rPr>
                <w:b/>
                <w:color w:val="FFFFFF"/>
                <w:sz w:val="19"/>
              </w:rPr>
            </w:r>
            <w:r>
              <w:rPr>
                <w:b/>
                <w:i w:val="0"/>
                <w:color w:val="FFFFFF"/>
                <w:sz w:val="19"/>
              </w:rPr>
              <w:t>Role</w:t>
            </w:r>
          </w:p>
        </w:tc>
        <w:tc>
          <w:tcPr>
            <w:tcW w:type="dxa" w:w="3202"/>
            <w:shd w:val="clear" w:color="auto" w:fill="1F3A5F"/>
          </w:tcPr>
          <w:p>
            <w:r>
              <w:rPr>
                <w:b/>
                <w:color w:val="FFFFFF"/>
                <w:sz w:val="19"/>
              </w:rPr>
            </w:r>
            <w:r>
              <w:rPr>
                <w:b/>
                <w:i w:val="0"/>
                <w:color w:val="FFFFFF"/>
                <w:sz w:val="19"/>
              </w:rPr>
              <w:t>Department</w:t>
            </w:r>
          </w:p>
        </w:tc>
        <w:tc>
          <w:tcPr>
            <w:tcW w:type="dxa" w:w="3202"/>
            <w:shd w:val="clear" w:color="auto" w:fill="1F3A5F"/>
          </w:tcPr>
          <w:p>
            <w:r>
              <w:rPr>
                <w:b/>
                <w:color w:val="FFFFFF"/>
                <w:sz w:val="19"/>
              </w:rPr>
            </w:r>
            <w:r>
              <w:rPr>
                <w:b/>
                <w:i w:val="0"/>
                <w:color w:val="FFFFFF"/>
                <w:sz w:val="19"/>
              </w:rPr>
              <w:t>Voting Rights</w:t>
            </w:r>
          </w:p>
        </w:tc>
      </w:tr>
      <w:tr>
        <w:tc>
          <w:tcPr>
            <w:tcW w:type="dxa" w:w="3202"/>
          </w:tcPr>
          <w:p>
            <w:r/>
            <w:r>
              <w:rPr>
                <w:b w:val="0"/>
                <w:i w:val="0"/>
              </w:rPr>
              <w:t>ISSC Chair (CISO or delegate)</w:t>
            </w:r>
          </w:p>
        </w:tc>
        <w:tc>
          <w:tcPr>
            <w:tcW w:type="dxa" w:w="3202"/>
          </w:tcPr>
          <w:p>
            <w:r/>
            <w:r>
              <w:rPr>
                <w:b w:val="0"/>
                <w:i w:val="0"/>
              </w:rPr>
              <w:t>Information Security</w:t>
            </w:r>
          </w:p>
        </w:tc>
        <w:tc>
          <w:tcPr>
            <w:tcW w:type="dxa" w:w="3202"/>
          </w:tcPr>
          <w:p>
            <w:r/>
            <w:r>
              <w:rPr>
                <w:b w:val="0"/>
                <w:i w:val="0"/>
              </w:rPr>
              <w:t>Yes</w:t>
            </w:r>
          </w:p>
        </w:tc>
      </w:tr>
      <w:tr>
        <w:tc>
          <w:tcPr>
            <w:tcW w:type="dxa" w:w="3202"/>
            <w:shd w:val="clear" w:color="auto" w:fill="EAF0F8"/>
          </w:tcPr>
          <w:p>
            <w:r/>
            <w:r>
              <w:rPr>
                <w:b w:val="0"/>
                <w:i w:val="0"/>
              </w:rPr>
              <w:t>[Chief Risk Officer]</w:t>
            </w:r>
          </w:p>
        </w:tc>
        <w:tc>
          <w:tcPr>
            <w:tcW w:type="dxa" w:w="3202"/>
            <w:shd w:val="clear" w:color="auto" w:fill="EAF0F8"/>
          </w:tcPr>
          <w:p>
            <w:r/>
            <w:r>
              <w:rPr>
                <w:b w:val="0"/>
                <w:i w:val="0"/>
              </w:rPr>
              <w:t>Risk</w:t>
            </w:r>
          </w:p>
        </w:tc>
        <w:tc>
          <w:tcPr>
            <w:tcW w:type="dxa" w:w="3202"/>
            <w:shd w:val="clear" w:color="auto" w:fill="EAF0F8"/>
          </w:tcPr>
          <w:p>
            <w:r/>
            <w:r>
              <w:rPr>
                <w:b w:val="0"/>
                <w:i w:val="0"/>
              </w:rPr>
              <w:t>Yes</w:t>
            </w:r>
          </w:p>
        </w:tc>
      </w:tr>
      <w:tr>
        <w:tc>
          <w:tcPr>
            <w:tcW w:type="dxa" w:w="3202"/>
          </w:tcPr>
          <w:p>
            <w:r/>
            <w:r>
              <w:rPr>
                <w:b w:val="0"/>
                <w:i w:val="0"/>
              </w:rPr>
              <w:t>[Chief Information Officer]</w:t>
            </w:r>
          </w:p>
        </w:tc>
        <w:tc>
          <w:tcPr>
            <w:tcW w:type="dxa" w:w="3202"/>
          </w:tcPr>
          <w:p>
            <w:r/>
            <w:r>
              <w:rPr>
                <w:b w:val="0"/>
                <w:i w:val="0"/>
              </w:rPr>
              <w:t>IT</w:t>
            </w:r>
          </w:p>
        </w:tc>
        <w:tc>
          <w:tcPr>
            <w:tcW w:type="dxa" w:w="3202"/>
          </w:tcPr>
          <w:p>
            <w:r/>
            <w:r>
              <w:rPr>
                <w:b w:val="0"/>
                <w:i w:val="0"/>
              </w:rPr>
              <w:t>Yes</w:t>
            </w:r>
          </w:p>
        </w:tc>
      </w:tr>
      <w:tr>
        <w:tc>
          <w:tcPr>
            <w:tcW w:type="dxa" w:w="3202"/>
            <w:shd w:val="clear" w:color="auto" w:fill="EAF0F8"/>
          </w:tcPr>
          <w:p>
            <w:r/>
            <w:r>
              <w:rPr>
                <w:b w:val="0"/>
                <w:i w:val="0"/>
              </w:rPr>
              <w:t>[Chief Compliance Officer]</w:t>
            </w:r>
          </w:p>
        </w:tc>
        <w:tc>
          <w:tcPr>
            <w:tcW w:type="dxa" w:w="3202"/>
            <w:shd w:val="clear" w:color="auto" w:fill="EAF0F8"/>
          </w:tcPr>
          <w:p>
            <w:r/>
            <w:r>
              <w:rPr>
                <w:b w:val="0"/>
                <w:i w:val="0"/>
              </w:rPr>
              <w:t>Compliance</w:t>
            </w:r>
          </w:p>
        </w:tc>
        <w:tc>
          <w:tcPr>
            <w:tcW w:type="dxa" w:w="3202"/>
            <w:shd w:val="clear" w:color="auto" w:fill="EAF0F8"/>
          </w:tcPr>
          <w:p>
            <w:r/>
            <w:r>
              <w:rPr>
                <w:b w:val="0"/>
                <w:i w:val="0"/>
              </w:rPr>
              <w:t>Yes</w:t>
            </w:r>
          </w:p>
        </w:tc>
      </w:tr>
      <w:tr>
        <w:tc>
          <w:tcPr>
            <w:tcW w:type="dxa" w:w="3202"/>
          </w:tcPr>
          <w:p>
            <w:r/>
            <w:r>
              <w:fldChar w:fldCharType="begin"/>
              <w:fldPr>
                <w:ffData>
                  <w:ffName w:val="Head of Legal"/>
                  <w:ffName w:val="DPO"/>
                </w:ffData>
              </w:fldPr>
              <w:instrText xml:space="preserve"> FORMDROPDOWN </w:instrText>
              <w:fldChar w:fldCharType="separate"/>
              <w:t>Head of Legal</w:t>
              <w:fldChar w:fldCharType="end"/>
            </w:r>
          </w:p>
        </w:tc>
        <w:tc>
          <w:tcPr>
            <w:tcW w:type="dxa" w:w="3202"/>
          </w:tcPr>
          <w:p>
            <w:r/>
            <w:r>
              <w:rPr>
                <w:b w:val="0"/>
                <w:i w:val="0"/>
              </w:rPr>
              <w:t>Legal / Privacy</w:t>
            </w:r>
          </w:p>
        </w:tc>
        <w:tc>
          <w:tcPr>
            <w:tcW w:type="dxa" w:w="3202"/>
          </w:tcPr>
          <w:p>
            <w:r/>
            <w:r>
              <w:rPr>
                <w:b w:val="0"/>
                <w:i w:val="0"/>
              </w:rPr>
              <w:t>Yes</w:t>
            </w:r>
          </w:p>
        </w:tc>
      </w:tr>
      <w:tr>
        <w:tc>
          <w:tcPr>
            <w:tcW w:type="dxa" w:w="3202"/>
            <w:shd w:val="clear" w:color="auto" w:fill="EAF0F8"/>
          </w:tcPr>
          <w:p>
            <w:r/>
            <w:r>
              <w:rPr>
                <w:b w:val="0"/>
                <w:i w:val="0"/>
              </w:rPr>
              <w:t>[Head of HR]</w:t>
            </w:r>
          </w:p>
        </w:tc>
        <w:tc>
          <w:tcPr>
            <w:tcW w:type="dxa" w:w="3202"/>
            <w:shd w:val="clear" w:color="auto" w:fill="EAF0F8"/>
          </w:tcPr>
          <w:p>
            <w:r/>
            <w:r>
              <w:rPr>
                <w:b w:val="0"/>
                <w:i w:val="0"/>
              </w:rPr>
              <w:t>Human Resources</w:t>
            </w:r>
          </w:p>
        </w:tc>
        <w:tc>
          <w:tcPr>
            <w:tcW w:type="dxa" w:w="3202"/>
            <w:shd w:val="clear" w:color="auto" w:fill="EAF0F8"/>
          </w:tcPr>
          <w:p>
            <w:r/>
            <w:r>
              <w:rPr>
                <w:b w:val="0"/>
                <w:i w:val="0"/>
              </w:rPr>
              <w:t>Yes</w:t>
            </w:r>
          </w:p>
        </w:tc>
      </w:tr>
      <w:tr>
        <w:tc>
          <w:tcPr>
            <w:tcW w:type="dxa" w:w="3202"/>
          </w:tcPr>
          <w:p>
            <w:r/>
            <w:r>
              <w:rPr>
                <w:b w:val="0"/>
                <w:i w:val="0"/>
              </w:rPr>
              <w:t>[Business Unit Representative]</w:t>
            </w:r>
          </w:p>
        </w:tc>
        <w:tc>
          <w:tcPr>
            <w:tcW w:type="dxa" w:w="3202"/>
          </w:tcPr>
          <w:p>
            <w:r/>
            <w:r>
              <w:rPr>
                <w:u/>
              </w:rPr>
              <w:fldChar w:fldCharType="begin"/>
              <w:instrText xml:space="preserve"> FORMTEXT </w:instrText>
              <w:fldChar w:fldCharType="separate"/>
              <w:t>                             </w:t>
              <w:fldChar w:fldCharType="end"/>
            </w:r>
          </w:p>
        </w:tc>
        <w:tc>
          <w:tcPr>
            <w:tcW w:type="dxa" w:w="3202"/>
          </w:tcPr>
          <w:p>
            <w:r/>
            <w:r>
              <w:rPr>
                <w:b w:val="0"/>
                <w:i w:val="0"/>
              </w:rPr>
              <w:t>Yes</w:t>
            </w:r>
          </w:p>
        </w:tc>
      </w:tr>
      <w:tr>
        <w:tc>
          <w:tcPr>
            <w:tcW w:type="dxa" w:w="3202"/>
            <w:shd w:val="clear" w:color="auto" w:fill="EAF0F8"/>
          </w:tcPr>
          <w:p>
            <w:r/>
            <w:r>
              <w:rPr>
                <w:b w:val="0"/>
                <w:i w:val="0"/>
              </w:rPr>
              <w:t>Internal Audit</w:t>
            </w:r>
          </w:p>
        </w:tc>
        <w:tc>
          <w:tcPr>
            <w:tcW w:type="dxa" w:w="3202"/>
            <w:shd w:val="clear" w:color="auto" w:fill="EAF0F8"/>
          </w:tcPr>
          <w:p>
            <w:r/>
            <w:r>
              <w:rPr>
                <w:b w:val="0"/>
                <w:i w:val="0"/>
              </w:rPr>
              <w:t>Audit</w:t>
            </w:r>
          </w:p>
        </w:tc>
        <w:tc>
          <w:tcPr>
            <w:tcW w:type="dxa" w:w="3202"/>
            <w:shd w:val="clear" w:color="auto" w:fill="EAF0F8"/>
          </w:tcPr>
          <w:p>
            <w:r/>
            <w:r>
              <w:rPr>
                <w:b w:val="0"/>
                <w:i w:val="0"/>
              </w:rPr>
              <w:t>Observer (non-voting)</w:t>
            </w:r>
          </w:p>
        </w:tc>
      </w:tr>
      <w:tr>
        <w:tc>
          <w:tcPr>
            <w:tcW w:type="dxa" w:w="3202"/>
          </w:tcPr>
          <w:p>
            <w:r/>
            <w:r>
              <w:rPr>
                <w:u/>
              </w:rPr>
              <w:fldChar w:fldCharType="begin"/>
              <w:instrText xml:space="preserve"> FORMTEXT </w:instrText>
              <w:fldChar w:fldCharType="separate"/>
              <w:t>                             </w:t>
              <w:fldChar w:fldCharType="end"/>
            </w:r>
          </w:p>
        </w:tc>
        <w:tc>
          <w:tcPr>
            <w:tcW w:type="dxa" w:w="3202"/>
          </w:tcPr>
          <w:p>
            <w:r/>
            <w:r>
              <w:rPr>
                <w:u/>
              </w:rPr>
              <w:fldChar w:fldCharType="begin"/>
              <w:instrText xml:space="preserve"> FORMTEXT </w:instrText>
              <w:fldChar w:fldCharType="separate"/>
              <w:t>                             </w:t>
              <w:fldChar w:fldCharType="end"/>
            </w:r>
          </w:p>
        </w:tc>
        <w:tc>
          <w:tcPr>
            <w:tcW w:type="dxa" w:w="3202"/>
          </w:tcPr>
          <w:p>
            <w:r/>
            <w:r>
              <w:fldChar w:fldCharType="begin"/>
              <w:fldPr>
                <w:ffData>
                  <w:ffName w:val="Yes"/>
                  <w:ffName w:val="No"/>
                </w:ffData>
              </w:fldPr>
              <w:instrText xml:space="preserve"> FORMDROPDOWN </w:instrText>
              <w:fldChar w:fldCharType="separate"/>
              <w:t>Yes</w:t>
              <w:fldChar w:fldCharType="end"/>
            </w:r>
          </w:p>
        </w:tc>
      </w:tr>
    </w:tbl>
    <w:p>
      <w:pPr>
        <w:spacing w:after="40"/>
      </w:pPr>
    </w:p>
    <w:p>
      <w:pPr>
        <w:spacing w:after="80" w:before="0"/>
      </w:pPr>
      <w:r>
        <w:rPr>
          <w:b w:val="0"/>
          <w:i w:val="0"/>
          <w:sz w:val="21"/>
        </w:rPr>
        <w:t>3.2. The Chair may invite subject-matter experts for specific agenda items; invited experts have no voting rights.</w:t>
      </w:r>
    </w:p>
    <w:p>
      <w:pPr>
        <w:spacing w:before="160" w:after="120"/>
      </w:pPr>
      <w:r>
        <w:rPr>
          <w:rFonts w:ascii="Georgia" w:hAnsi="Georgia"/>
          <w:b/>
          <w:color w:val="1F3A5F"/>
          <w:sz w:val="28"/>
        </w:rPr>
        <w:t>4. MEETING CADENCE</w:t>
      </w:r>
    </w:p>
    <w:p>
      <w:pPr>
        <w:spacing w:after="80" w:before="0"/>
      </w:pPr>
      <w:r>
        <w:rPr>
          <w:b w:val="0"/>
          <w:i w:val="0"/>
          <w:sz w:val="21"/>
        </w:rPr>
        <w:t xml:space="preserve">4.1. The ISSC meets **monthly** (minimum quarterly). Standing day/time: </w:t>
      </w:r>
      <w:r>
        <w:rPr>
          <w:b w:val="0"/>
          <w:i w:val="0"/>
          <w:sz w:val="21"/>
          <w:u/>
        </w:rPr>
        <w:fldChar w:fldCharType="begin"/>
        <w:instrText xml:space="preserve"> FORMTEXT </w:instrText>
        <w:fldChar w:fldCharType="separate"/>
        <w:t>                             </w:t>
        <w:fldChar w:fldCharType="end"/>
      </w:r>
      <w:r>
        <w:rPr>
          <w:b w:val="0"/>
          <w:i w:val="0"/>
          <w:sz w:val="21"/>
        </w:rPr>
        <w:t>.</w:t>
      </w:r>
    </w:p>
    <w:p>
      <w:pPr>
        <w:spacing w:after="80" w:before="0"/>
      </w:pPr>
      <w:r>
        <w:rPr>
          <w:b w:val="0"/>
          <w:i w:val="0"/>
          <w:sz w:val="21"/>
        </w:rPr>
        <w:t xml:space="preserve">4.2. Extraordinary meetings are convened by the Chair within </w:t>
      </w:r>
      <w:r>
        <w:rPr>
          <w:b w:val="0"/>
          <w:i w:val="0"/>
          <w:sz w:val="21"/>
        </w:rPr>
        <w:t>[72 hours]</w:t>
      </w:r>
      <w:r>
        <w:rPr>
          <w:b w:val="0"/>
          <w:i w:val="0"/>
          <w:sz w:val="21"/>
        </w:rPr>
        <w:t xml:space="preserve"> of a major incident, material regulatory change, or critical audit finding.</w:t>
      </w:r>
    </w:p>
    <w:p>
      <w:pPr>
        <w:spacing w:after="80" w:before="0"/>
      </w:pPr>
      <w:r>
        <w:rPr>
          <w:b w:val="0"/>
          <w:i w:val="0"/>
          <w:sz w:val="21"/>
        </w:rPr>
        <w:t>4.3. Minutes of each meeting are recorded using the ISSC Meeting Minutes template (</w:t>
      </w:r>
      <w:r>
        <w:rPr>
          <w:b w:val="0"/>
          <w:i w:val="0"/>
          <w:sz w:val="21"/>
        </w:rPr>
        <w:t>[ORG]</w:t>
      </w:r>
      <w:r>
        <w:rPr>
          <w:b w:val="0"/>
          <w:i w:val="0"/>
          <w:sz w:val="21"/>
        </w:rPr>
        <w:t>-GOV-002) and approved at the next meeting.</w:t>
      </w:r>
    </w:p>
    <w:p>
      <w:pPr>
        <w:spacing w:before="160" w:after="120"/>
      </w:pPr>
      <w:r>
        <w:rPr>
          <w:rFonts w:ascii="Georgia" w:hAnsi="Georgia"/>
          <w:b/>
          <w:color w:val="1F3A5F"/>
          <w:sz w:val="28"/>
        </w:rPr>
        <w:t>5. STANDARD AGENDA (THE GOVERNANCE PULSE)</w:t>
      </w:r>
    </w:p>
    <w:p>
      <w:pPr>
        <w:spacing w:after="80" w:before="0"/>
      </w:pPr>
      <w:r>
        <w:rPr>
          <w:b w:val="0"/>
          <w:i w:val="0"/>
          <w:sz w:val="21"/>
        </w:rPr>
        <w:t>5.1. Each regular meeting follows the governance pulse:</w:t>
      </w:r>
    </w:p>
    <w:tbl>
      <w:tblPr>
        <w:tblW w:type="auto" w:w="0"/>
        <w:jc w:val="center"/>
        <w:tblLook w:firstColumn="1" w:firstRow="1" w:lastColumn="0" w:lastRow="0" w:noHBand="0" w:noVBand="1" w:val="04A0"/>
        <w:tblBorders>
          <w:top w:val="single" w:sz="4" w:space="0" w:color="B8C4D8"/>
          <w:left w:val="single" w:sz="4" w:space="0" w:color="B8C4D8"/>
          <w:bottom w:val="single" w:sz="4" w:space="0" w:color="B8C4D8"/>
          <w:right w:val="single" w:sz="4" w:space="0" w:color="B8C4D8"/>
          <w:insideH w:val="single" w:sz="4" w:space="0" w:color="B8C4D8"/>
          <w:insideV w:val="single" w:sz="4" w:space="0" w:color="B8C4D8"/>
        </w:tblBorders>
      </w:tblPr>
      <w:tblGrid>
        <w:gridCol w:w="3202"/>
        <w:gridCol w:w="3202"/>
        <w:gridCol w:w="3202"/>
      </w:tblGrid>
      <w:tr>
        <w:tc>
          <w:tcPr>
            <w:tcW w:type="dxa" w:w="3202"/>
            <w:shd w:val="clear" w:color="auto" w:fill="1F3A5F"/>
          </w:tcPr>
          <w:p>
            <w:r>
              <w:rPr>
                <w:b/>
                <w:color w:val="FFFFFF"/>
                <w:sz w:val="19"/>
              </w:rPr>
            </w:r>
            <w:r>
              <w:rPr>
                <w:b/>
                <w:i w:val="0"/>
                <w:color w:val="FFFFFF"/>
                <w:sz w:val="19"/>
              </w:rPr>
              <w:t>Agenda Item</w:t>
            </w:r>
          </w:p>
        </w:tc>
        <w:tc>
          <w:tcPr>
            <w:tcW w:type="dxa" w:w="3202"/>
            <w:shd w:val="clear" w:color="auto" w:fill="1F3A5F"/>
          </w:tcPr>
          <w:p>
            <w:r>
              <w:rPr>
                <w:b/>
                <w:color w:val="FFFFFF"/>
                <w:sz w:val="19"/>
              </w:rPr>
            </w:r>
            <w:r>
              <w:rPr>
                <w:b/>
                <w:i w:val="0"/>
                <w:color w:val="FFFFFF"/>
                <w:sz w:val="19"/>
              </w:rPr>
              <w:t>Owner</w:t>
            </w:r>
          </w:p>
        </w:tc>
        <w:tc>
          <w:tcPr>
            <w:tcW w:type="dxa" w:w="3202"/>
            <w:shd w:val="clear" w:color="auto" w:fill="1F3A5F"/>
          </w:tcPr>
          <w:p>
            <w:r>
              <w:rPr>
                <w:b/>
                <w:color w:val="FFFFFF"/>
                <w:sz w:val="19"/>
              </w:rPr>
            </w:r>
            <w:r>
              <w:rPr>
                <w:b/>
                <w:i w:val="0"/>
                <w:color w:val="FFFFFF"/>
                <w:sz w:val="19"/>
              </w:rPr>
              <w:t>Purpose</w:t>
            </w:r>
          </w:p>
        </w:tc>
      </w:tr>
      <w:tr>
        <w:tc>
          <w:tcPr>
            <w:tcW w:type="dxa" w:w="3202"/>
          </w:tcPr>
          <w:p>
            <w:r/>
            <w:r>
              <w:rPr>
                <w:b w:val="0"/>
                <w:i w:val="0"/>
              </w:rPr>
              <w:t>Risk Register review</w:t>
            </w:r>
          </w:p>
        </w:tc>
        <w:tc>
          <w:tcPr>
            <w:tcW w:type="dxa" w:w="3202"/>
          </w:tcPr>
          <w:p>
            <w:r/>
            <w:r>
              <w:rPr>
                <w:b w:val="0"/>
                <w:i w:val="0"/>
              </w:rPr>
              <w:t>Risk Manager</w:t>
            </w:r>
          </w:p>
        </w:tc>
        <w:tc>
          <w:tcPr>
            <w:tcW w:type="dxa" w:w="3202"/>
          </w:tcPr>
          <w:p>
            <w:r/>
            <w:r>
              <w:rPr>
                <w:b w:val="0"/>
                <w:i w:val="0"/>
              </w:rPr>
              <w:t>Review top risks and treatment progress</w:t>
            </w:r>
          </w:p>
        </w:tc>
      </w:tr>
      <w:tr>
        <w:tc>
          <w:tcPr>
            <w:tcW w:type="dxa" w:w="3202"/>
            <w:shd w:val="clear" w:color="auto" w:fill="EAF0F8"/>
          </w:tcPr>
          <w:p>
            <w:r/>
            <w:r>
              <w:rPr>
                <w:b w:val="0"/>
                <w:i w:val="0"/>
              </w:rPr>
              <w:t>Incident review</w:t>
            </w:r>
          </w:p>
        </w:tc>
        <w:tc>
          <w:tcPr>
            <w:tcW w:type="dxa" w:w="3202"/>
            <w:shd w:val="clear" w:color="auto" w:fill="EAF0F8"/>
          </w:tcPr>
          <w:p>
            <w:r/>
            <w:r>
              <w:rPr>
                <w:b w:val="0"/>
                <w:i w:val="0"/>
              </w:rPr>
              <w:t>CISO</w:t>
            </w:r>
          </w:p>
        </w:tc>
        <w:tc>
          <w:tcPr>
            <w:tcW w:type="dxa" w:w="3202"/>
            <w:shd w:val="clear" w:color="auto" w:fill="EAF0F8"/>
          </w:tcPr>
          <w:p>
            <w:r/>
            <w:r>
              <w:rPr>
                <w:b w:val="0"/>
                <w:i w:val="0"/>
              </w:rPr>
              <w:t>Incidents since last meeting; lessons learned</w:t>
            </w:r>
          </w:p>
        </w:tc>
      </w:tr>
      <w:tr>
        <w:tc>
          <w:tcPr>
            <w:tcW w:type="dxa" w:w="3202"/>
          </w:tcPr>
          <w:p>
            <w:r/>
            <w:r>
              <w:rPr>
                <w:b w:val="0"/>
                <w:i w:val="0"/>
              </w:rPr>
              <w:t>Compliance status</w:t>
            </w:r>
          </w:p>
        </w:tc>
        <w:tc>
          <w:tcPr>
            <w:tcW w:type="dxa" w:w="3202"/>
          </w:tcPr>
          <w:p>
            <w:r/>
            <w:r>
              <w:rPr>
                <w:b w:val="0"/>
                <w:i w:val="0"/>
              </w:rPr>
              <w:t>Compliance Officer</w:t>
            </w:r>
          </w:p>
        </w:tc>
        <w:tc>
          <w:tcPr>
            <w:tcW w:type="dxa" w:w="3202"/>
          </w:tcPr>
          <w:p>
            <w:r/>
            <w:r>
              <w:rPr>
                <w:b w:val="0"/>
                <w:i w:val="0"/>
              </w:rPr>
              <w:t>Regulatory obligations, audit findings, SoA updates</w:t>
            </w:r>
          </w:p>
        </w:tc>
      </w:tr>
      <w:tr>
        <w:tc>
          <w:tcPr>
            <w:tcW w:type="dxa" w:w="3202"/>
            <w:shd w:val="clear" w:color="auto" w:fill="EAF0F8"/>
          </w:tcPr>
          <w:p>
            <w:r/>
            <w:r>
              <w:rPr>
                <w:b w:val="0"/>
                <w:i w:val="0"/>
              </w:rPr>
              <w:t>Program updates</w:t>
            </w:r>
          </w:p>
        </w:tc>
        <w:tc>
          <w:tcPr>
            <w:tcW w:type="dxa" w:w="3202"/>
            <w:shd w:val="clear" w:color="auto" w:fill="EAF0F8"/>
          </w:tcPr>
          <w:p>
            <w:r/>
            <w:r>
              <w:rPr>
                <w:b w:val="0"/>
                <w:i w:val="0"/>
              </w:rPr>
              <w:t>CISO</w:t>
            </w:r>
          </w:p>
        </w:tc>
        <w:tc>
          <w:tcPr>
            <w:tcW w:type="dxa" w:w="3202"/>
            <w:shd w:val="clear" w:color="auto" w:fill="EAF0F8"/>
          </w:tcPr>
          <w:p>
            <w:r/>
            <w:r>
              <w:rPr>
                <w:b w:val="0"/>
                <w:i w:val="0"/>
              </w:rPr>
              <w:t>Projects, metrics, budget burn</w:t>
            </w:r>
          </w:p>
        </w:tc>
      </w:tr>
      <w:tr>
        <w:tc>
          <w:tcPr>
            <w:tcW w:type="dxa" w:w="3202"/>
          </w:tcPr>
          <w:p>
            <w:r/>
            <w:r>
              <w:rPr>
                <w:b w:val="0"/>
                <w:i w:val="0"/>
              </w:rPr>
              <w:t>Budget and resources</w:t>
            </w:r>
          </w:p>
        </w:tc>
        <w:tc>
          <w:tcPr>
            <w:tcW w:type="dxa" w:w="3202"/>
          </w:tcPr>
          <w:p>
            <w:r/>
            <w:r>
              <w:rPr>
                <w:b w:val="0"/>
                <w:i w:val="0"/>
              </w:rPr>
              <w:t>Chair</w:t>
            </w:r>
          </w:p>
        </w:tc>
        <w:tc>
          <w:tcPr>
            <w:tcW w:type="dxa" w:w="3202"/>
          </w:tcPr>
          <w:p>
            <w:r/>
            <w:r>
              <w:rPr>
                <w:b w:val="0"/>
                <w:i w:val="0"/>
              </w:rPr>
              <w:t>Approve spend and resource requests</w:t>
            </w:r>
          </w:p>
        </w:tc>
      </w:tr>
    </w:tbl>
    <w:p>
      <w:pPr>
        <w:spacing w:after="40"/>
      </w:pPr>
    </w:p>
    <w:p>
      <w:pPr>
        <w:spacing w:before="160" w:after="120"/>
      </w:pPr>
      <w:r>
        <w:rPr>
          <w:rFonts w:ascii="Georgia" w:hAnsi="Georgia"/>
          <w:b/>
          <w:color w:val="1F3A5F"/>
          <w:sz w:val="28"/>
        </w:rPr>
        <w:t>6. DECISION AUTHORITY</w:t>
      </w:r>
    </w:p>
    <w:p>
      <w:pPr>
        <w:spacing w:after="80" w:before="0"/>
      </w:pPr>
      <w:r>
        <w:rPr>
          <w:b w:val="0"/>
          <w:i w:val="0"/>
          <w:sz w:val="21"/>
        </w:rPr>
        <w:t xml:space="preserve">6.1. The ISSC approves: ISMS scope, risk treatment plan, major policy changes, acceptance of residual risks above </w:t>
      </w:r>
      <w:r>
        <w:rPr>
          <w:b w:val="0"/>
          <w:i w:val="0"/>
          <w:sz w:val="21"/>
        </w:rPr>
        <w:t>[risk score]</w:t>
      </w:r>
      <w:r>
        <w:rPr>
          <w:b w:val="0"/>
          <w:i w:val="0"/>
          <w:sz w:val="21"/>
        </w:rPr>
        <w:t xml:space="preserve"> per the Risk Assessment Methodology (RAM), and the security budget.</w:t>
      </w:r>
    </w:p>
    <w:p>
      <w:pPr>
        <w:spacing w:after="80" w:before="0"/>
      </w:pPr>
      <w:r>
        <w:rPr>
          <w:b w:val="0"/>
          <w:i w:val="0"/>
          <w:sz w:val="21"/>
        </w:rPr>
        <w:t>6.2. The ISSC does not decide: individual access requests, routine operational matters, or items reserved for the Board/CEO (</w:t>
      </w:r>
      <w:r>
        <w:rPr>
          <w:b w:val="0"/>
          <w:i w:val="0"/>
          <w:sz w:val="21"/>
        </w:rPr>
        <w:t>[list]</w:t>
      </w:r>
      <w:r>
        <w:rPr>
          <w:b w:val="0"/>
          <w:i w:val="0"/>
          <w:sz w:val="21"/>
        </w:rPr>
        <w:t xml:space="preserve">: </w:t>
      </w:r>
      <w:r>
        <w:rPr>
          <w:b w:val="0"/>
          <w:i w:val="0"/>
          <w:sz w:val="21"/>
          <w:u/>
        </w:rPr>
        <w:fldChar w:fldCharType="begin"/>
        <w:instrText xml:space="preserve"> FORMTEXT </w:instrText>
        <w:fldChar w:fldCharType="separate"/>
        <w:t>                             </w:t>
        <w:fldChar w:fldCharType="end"/>
      </w:r>
      <w:r>
        <w:rPr>
          <w:b w:val="0"/>
          <w:i w:val="0"/>
          <w:sz w:val="21"/>
        </w:rPr>
        <w:t>).</w:t>
      </w:r>
    </w:p>
    <w:p>
      <w:pPr>
        <w:spacing w:before="160" w:after="120"/>
      </w:pPr>
      <w:r>
        <w:rPr>
          <w:rFonts w:ascii="Georgia" w:hAnsi="Georgia"/>
          <w:b/>
          <w:color w:val="1F3A5F"/>
          <w:sz w:val="28"/>
        </w:rPr>
        <w:t>7. QUORUM AND VOTING</w:t>
      </w:r>
    </w:p>
    <w:p>
      <w:pPr>
        <w:spacing w:after="80" w:before="0"/>
      </w:pPr>
      <w:r>
        <w:rPr>
          <w:b w:val="0"/>
          <w:i w:val="0"/>
          <w:sz w:val="21"/>
        </w:rPr>
        <w:t xml:space="preserve">7.1. Quorum is </w:t>
      </w:r>
      <w:r>
        <w:rPr>
          <w:b w:val="0"/>
          <w:i w:val="0"/>
          <w:sz w:val="21"/>
        </w:rPr>
        <w:t>[50% + 1]</w:t>
      </w:r>
      <w:r>
        <w:rPr>
          <w:b w:val="0"/>
          <w:i w:val="0"/>
          <w:sz w:val="21"/>
        </w:rPr>
        <w:t xml:space="preserve"> of voting members, including the Chair or a designated delegate.</w:t>
      </w:r>
    </w:p>
    <w:p>
      <w:pPr>
        <w:spacing w:after="80" w:before="0"/>
      </w:pPr>
      <w:r>
        <w:rPr>
          <w:b w:val="0"/>
          <w:i w:val="0"/>
          <w:sz w:val="21"/>
        </w:rPr>
        <w:t>7.2. Decisions pass by simple majority of voting members present; the Chair holds the deciding vote in a tie.</w:t>
      </w:r>
    </w:p>
    <w:p>
      <w:pPr>
        <w:spacing w:after="80" w:before="0"/>
      </w:pPr>
      <w:r>
        <w:rPr>
          <w:b w:val="0"/>
          <w:i w:val="0"/>
          <w:sz w:val="21"/>
        </w:rPr>
        <w:t xml:space="preserve">7.3. Decisions that change risk appetite or require unbudgeted spend above </w:t>
      </w:r>
      <w:r>
        <w:rPr>
          <w:b w:val="0"/>
          <w:i w:val="0"/>
          <w:sz w:val="21"/>
        </w:rPr>
        <w:t>[amount]</w:t>
      </w:r>
      <w:r>
        <w:rPr>
          <w:b w:val="0"/>
          <w:i w:val="0"/>
          <w:sz w:val="21"/>
        </w:rPr>
        <w:t xml:space="preserve"> are escalated to the CEO.</w:t>
      </w:r>
    </w:p>
    <w:p>
      <w:pPr>
        <w:spacing w:before="160" w:after="120"/>
      </w:pPr>
      <w:r>
        <w:rPr>
          <w:rFonts w:ascii="Georgia" w:hAnsi="Georgia"/>
          <w:b/>
          <w:color w:val="1F3A5F"/>
          <w:sz w:val="28"/>
        </w:rPr>
        <w:t>8. CHARTER AMENDMENT</w:t>
      </w:r>
    </w:p>
    <w:p>
      <w:pPr>
        <w:spacing w:after="80" w:before="0"/>
      </w:pPr>
      <w:r>
        <w:rPr>
          <w:b w:val="0"/>
          <w:i w:val="0"/>
          <w:sz w:val="21"/>
        </w:rPr>
        <w:t>8.1. Amendments may be proposed by any voting member, reviewed by the ISSC, and take effect upon CEO approval.</w:t>
      </w:r>
    </w:p>
    <w:p>
      <w:pPr>
        <w:spacing w:after="80" w:before="0"/>
      </w:pPr>
      <w:r>
        <w:rPr>
          <w:b w:val="0"/>
          <w:i w:val="0"/>
          <w:sz w:val="21"/>
        </w:rPr>
        <w:t>8.2. Every amendment is recorded in the DOCUMENT CONTROL table below.</w:t>
      </w:r>
    </w:p>
    <w:p>
      <w:pPr>
        <w:spacing w:before="160" w:after="120"/>
      </w:pPr>
      <w:r>
        <w:rPr>
          <w:rFonts w:ascii="Georgia" w:hAnsi="Georgia"/>
          <w:b/>
          <w:color w:val="1F3A5F"/>
          <w:sz w:val="28"/>
        </w:rPr>
        <w:t>APPROVAL</w:t>
      </w:r>
    </w:p>
    <w:tbl>
      <w:tblPr>
        <w:tblW w:type="auto" w:w="0"/>
        <w:jc w:val="center"/>
        <w:tblLook w:firstColumn="1" w:firstRow="1" w:lastColumn="0" w:lastRow="0" w:noHBand="0" w:noVBand="1" w:val="04A0"/>
        <w:tblBorders>
          <w:top w:val="single" w:sz="4" w:space="0" w:color="B8C4D8"/>
          <w:left w:val="single" w:sz="4" w:space="0" w:color="B8C4D8"/>
          <w:bottom w:val="single" w:sz="4" w:space="0" w:color="B8C4D8"/>
          <w:right w:val="single" w:sz="4" w:space="0" w:color="B8C4D8"/>
          <w:insideH w:val="single" w:sz="4" w:space="0" w:color="B8C4D8"/>
          <w:insideV w:val="single" w:sz="4" w:space="0" w:color="B8C4D8"/>
        </w:tblBorders>
      </w:tblPr>
      <w:tblGrid>
        <w:gridCol w:w="2401"/>
        <w:gridCol w:w="2401"/>
        <w:gridCol w:w="2401"/>
        <w:gridCol w:w="2401"/>
      </w:tblGrid>
      <w:tr>
        <w:tc>
          <w:tcPr>
            <w:tcW w:type="dxa" w:w="2401"/>
            <w:shd w:val="clear" w:color="auto" w:fill="1F3A5F"/>
          </w:tcPr>
          <w:p>
            <w:r>
              <w:rPr>
                <w:b/>
                <w:color w:val="FFFFFF"/>
                <w:sz w:val="19"/>
              </w:rPr>
            </w:r>
            <w:r>
              <w:rPr>
                <w:b/>
                <w:i w:val="0"/>
                <w:color w:val="FFFFFF"/>
                <w:sz w:val="19"/>
              </w:rPr>
              <w:t>Role</w:t>
            </w:r>
          </w:p>
        </w:tc>
        <w:tc>
          <w:tcPr>
            <w:tcW w:type="dxa" w:w="2401"/>
            <w:shd w:val="clear" w:color="auto" w:fill="1F3A5F"/>
          </w:tcPr>
          <w:p>
            <w:r>
              <w:rPr>
                <w:b/>
                <w:color w:val="FFFFFF"/>
                <w:sz w:val="19"/>
              </w:rPr>
            </w:r>
            <w:r>
              <w:rPr>
                <w:b/>
                <w:i w:val="0"/>
                <w:color w:val="FFFFFF"/>
                <w:sz w:val="19"/>
              </w:rPr>
              <w:t>Name</w:t>
            </w:r>
          </w:p>
        </w:tc>
        <w:tc>
          <w:tcPr>
            <w:tcW w:type="dxa" w:w="2401"/>
            <w:shd w:val="clear" w:color="auto" w:fill="1F3A5F"/>
          </w:tcPr>
          <w:p>
            <w:r>
              <w:rPr>
                <w:b/>
                <w:color w:val="FFFFFF"/>
                <w:sz w:val="19"/>
              </w:rPr>
            </w:r>
            <w:r>
              <w:rPr>
                <w:b/>
                <w:i w:val="0"/>
                <w:color w:val="FFFFFF"/>
                <w:sz w:val="19"/>
              </w:rPr>
              <w:t>Signature</w:t>
            </w:r>
          </w:p>
        </w:tc>
        <w:tc>
          <w:tcPr>
            <w:tcW w:type="dxa" w:w="2401"/>
            <w:shd w:val="clear" w:color="auto" w:fill="1F3A5F"/>
          </w:tcPr>
          <w:p>
            <w:r>
              <w:rPr>
                <w:b/>
                <w:color w:val="FFFFFF"/>
                <w:sz w:val="19"/>
              </w:rPr>
            </w:r>
            <w:r>
              <w:rPr>
                <w:b/>
                <w:i w:val="0"/>
                <w:color w:val="FFFFFF"/>
                <w:sz w:val="19"/>
              </w:rPr>
              <w:t>Date</w:t>
            </w:r>
          </w:p>
        </w:tc>
      </w:tr>
      <w:tr>
        <w:tc>
          <w:tcPr>
            <w:tcW w:type="dxa" w:w="2401"/>
          </w:tcPr>
          <w:p>
            <w:r/>
            <w:r>
              <w:rPr>
                <w:b w:val="0"/>
                <w:i w:val="0"/>
              </w:rPr>
              <w:t>ISSC Chair</w:t>
            </w:r>
          </w:p>
        </w:tc>
        <w:tc>
          <w:tcPr>
            <w:tcW w:type="dxa" w:w="2401"/>
          </w:tcPr>
          <w:p>
            <w:r/>
            <w:r>
              <w:rPr>
                <w:u/>
              </w:rPr>
              <w:fldChar w:fldCharType="begin"/>
              <w:instrText xml:space="preserve"> FORMTEXT </w:instrText>
              <w:fldChar w:fldCharType="separate"/>
              <w:t>                             </w:t>
              <w:fldChar w:fldCharType="end"/>
            </w:r>
          </w:p>
        </w:tc>
        <w:tc>
          <w:tcPr>
            <w:tcW w:type="dxa" w:w="2401"/>
          </w:tcPr>
          <w:p>
            <w:r/>
            <w:r>
              <w:rPr>
                <w:u/>
              </w:rPr>
              <w:fldChar w:fldCharType="begin"/>
              <w:instrText xml:space="preserve"> FORMTEXT </w:instrText>
              <w:fldChar w:fldCharType="separate"/>
              <w:t>                             </w:t>
              <w:fldChar w:fldCharType="end"/>
            </w:r>
          </w:p>
        </w:tc>
        <w:tc>
          <w:tcPr>
            <w:tcW w:type="dxa" w:w="2401"/>
          </w:tcPr>
          <w:p>
            <w:r/>
            <w:r>
              <w:rPr>
                <w:u/>
              </w:rPr>
              <w:fldChar w:fldCharType="begin"/>
              <w:instrText xml:space="preserve"> FORMTEXT </w:instrText>
              <w:fldChar w:fldCharType="separate"/>
              <w:t>                             </w:t>
              <w:fldChar w:fldCharType="end"/>
            </w:r>
          </w:p>
        </w:tc>
      </w:tr>
      <w:tr>
        <w:tc>
          <w:tcPr>
            <w:tcW w:type="dxa" w:w="2401"/>
            <w:shd w:val="clear" w:color="auto" w:fill="EAF0F8"/>
          </w:tcPr>
          <w:p>
            <w:r/>
            <w:r>
              <w:rPr>
                <w:b w:val="0"/>
                <w:i w:val="0"/>
              </w:rPr>
              <w:t>Chief Executive Officer</w:t>
            </w:r>
          </w:p>
        </w:tc>
        <w:tc>
          <w:tcPr>
            <w:tcW w:type="dxa" w:w="2401"/>
            <w:shd w:val="clear" w:color="auto" w:fill="EAF0F8"/>
          </w:tcPr>
          <w:p>
            <w:r/>
            <w:r>
              <w:rPr>
                <w:u/>
              </w:rPr>
              <w:fldChar w:fldCharType="begin"/>
              <w:instrText xml:space="preserve"> FORMTEXT </w:instrText>
              <w:fldChar w:fldCharType="separate"/>
              <w:t>                             </w:t>
              <w:fldChar w:fldCharType="end"/>
            </w:r>
          </w:p>
        </w:tc>
        <w:tc>
          <w:tcPr>
            <w:tcW w:type="dxa" w:w="2401"/>
            <w:shd w:val="clear" w:color="auto" w:fill="EAF0F8"/>
          </w:tcPr>
          <w:p>
            <w:r/>
            <w:r>
              <w:rPr>
                <w:u/>
              </w:rPr>
              <w:fldChar w:fldCharType="begin"/>
              <w:instrText xml:space="preserve"> FORMTEXT </w:instrText>
              <w:fldChar w:fldCharType="separate"/>
              <w:t>                             </w:t>
              <w:fldChar w:fldCharType="end"/>
            </w:r>
          </w:p>
        </w:tc>
        <w:tc>
          <w:tcPr>
            <w:tcW w:type="dxa" w:w="2401"/>
            <w:shd w:val="clear" w:color="auto" w:fill="EAF0F8"/>
          </w:tcPr>
          <w:p>
            <w:r/>
            <w:r>
              <w:rPr>
                <w:u/>
              </w:rPr>
              <w:fldChar w:fldCharType="begin"/>
              <w:instrText xml:space="preserve"> FORMTEXT </w:instrText>
              <w:fldChar w:fldCharType="separate"/>
              <w:t>                             </w:t>
              <w:fldChar w:fldCharType="end"/>
            </w:r>
          </w:p>
        </w:tc>
      </w:tr>
    </w:tbl>
    <w:p>
      <w:pPr>
        <w:spacing w:after="40"/>
      </w:pPr>
    </w:p>
    <w:p>
      <w:pPr>
        <w:spacing w:before="160" w:after="120"/>
      </w:pPr>
      <w:r>
        <w:rPr>
          <w:rFonts w:ascii="Georgia" w:hAnsi="Georgia"/>
          <w:b/>
          <w:color w:val="1F3A5F"/>
          <w:sz w:val="28"/>
        </w:rPr>
        <w:t>DOCUMENT CONTROL</w:t>
      </w:r>
    </w:p>
    <w:tbl>
      <w:tblPr>
        <w:tblW w:type="auto" w:w="0"/>
        <w:jc w:val="center"/>
        <w:tblLook w:firstColumn="1" w:firstRow="1" w:lastColumn="0" w:lastRow="0" w:noHBand="0" w:noVBand="1" w:val="04A0"/>
        <w:tblBorders>
          <w:top w:val="single" w:sz="4" w:space="0" w:color="B8C4D8"/>
          <w:left w:val="single" w:sz="4" w:space="0" w:color="B8C4D8"/>
          <w:bottom w:val="single" w:sz="4" w:space="0" w:color="B8C4D8"/>
          <w:right w:val="single" w:sz="4" w:space="0" w:color="B8C4D8"/>
          <w:insideH w:val="single" w:sz="4" w:space="0" w:color="B8C4D8"/>
          <w:insideV w:val="single" w:sz="4" w:space="0" w:color="B8C4D8"/>
        </w:tblBorders>
      </w:tblPr>
      <w:tblGrid>
        <w:gridCol w:w="2401"/>
        <w:gridCol w:w="2401"/>
        <w:gridCol w:w="2401"/>
        <w:gridCol w:w="2401"/>
      </w:tblGrid>
      <w:tr>
        <w:tc>
          <w:tcPr>
            <w:tcW w:type="dxa" w:w="2401"/>
            <w:shd w:val="clear" w:color="auto" w:fill="1F3A5F"/>
          </w:tcPr>
          <w:p>
            <w:r>
              <w:rPr>
                <w:b/>
                <w:color w:val="FFFFFF"/>
                <w:sz w:val="19"/>
              </w:rPr>
            </w:r>
            <w:r>
              <w:rPr>
                <w:b/>
                <w:i w:val="0"/>
                <w:color w:val="FFFFFF"/>
                <w:sz w:val="19"/>
              </w:rPr>
              <w:t>Version</w:t>
            </w:r>
          </w:p>
        </w:tc>
        <w:tc>
          <w:tcPr>
            <w:tcW w:type="dxa" w:w="2401"/>
            <w:shd w:val="clear" w:color="auto" w:fill="1F3A5F"/>
          </w:tcPr>
          <w:p>
            <w:r>
              <w:rPr>
                <w:b/>
                <w:color w:val="FFFFFF"/>
                <w:sz w:val="19"/>
              </w:rPr>
            </w:r>
            <w:r>
              <w:rPr>
                <w:b/>
                <w:i w:val="0"/>
                <w:color w:val="FFFFFF"/>
                <w:sz w:val="19"/>
              </w:rPr>
              <w:t>Date</w:t>
            </w:r>
          </w:p>
        </w:tc>
        <w:tc>
          <w:tcPr>
            <w:tcW w:type="dxa" w:w="2401"/>
            <w:shd w:val="clear" w:color="auto" w:fill="1F3A5F"/>
          </w:tcPr>
          <w:p>
            <w:r>
              <w:rPr>
                <w:b/>
                <w:color w:val="FFFFFF"/>
                <w:sz w:val="19"/>
              </w:rPr>
            </w:r>
            <w:r>
              <w:rPr>
                <w:b/>
                <w:i w:val="0"/>
                <w:color w:val="FFFFFF"/>
                <w:sz w:val="19"/>
              </w:rPr>
              <w:t>Author</w:t>
            </w:r>
          </w:p>
        </w:tc>
        <w:tc>
          <w:tcPr>
            <w:tcW w:type="dxa" w:w="2401"/>
            <w:shd w:val="clear" w:color="auto" w:fill="1F3A5F"/>
          </w:tcPr>
          <w:p>
            <w:r>
              <w:rPr>
                <w:b/>
                <w:color w:val="FFFFFF"/>
                <w:sz w:val="19"/>
              </w:rPr>
            </w:r>
            <w:r>
              <w:rPr>
                <w:b/>
                <w:i w:val="0"/>
                <w:color w:val="FFFFFF"/>
                <w:sz w:val="19"/>
              </w:rPr>
              <w:t>Change Description</w:t>
            </w:r>
          </w:p>
        </w:tc>
      </w:tr>
      <w:tr>
        <w:tc>
          <w:tcPr>
            <w:tcW w:type="dxa" w:w="2401"/>
          </w:tcPr>
          <w:p>
            <w:r/>
            <w:r>
              <w:rPr>
                <w:b w:val="0"/>
                <w:i w:val="0"/>
              </w:rPr>
              <w:t>0.1</w:t>
            </w:r>
          </w:p>
        </w:tc>
        <w:tc>
          <w:tcPr>
            <w:tcW w:type="dxa" w:w="2401"/>
          </w:tcPr>
          <w:p>
            <w:r/>
            <w:r>
              <w:rPr>
                <w:u/>
              </w:rPr>
              <w:fldChar w:fldCharType="begin"/>
              <w:instrText xml:space="preserve"> FORMTEXT </w:instrText>
              <w:fldChar w:fldCharType="separate"/>
              <w:t>                             </w:t>
              <w:fldChar w:fldCharType="end"/>
            </w:r>
          </w:p>
        </w:tc>
        <w:tc>
          <w:tcPr>
            <w:tcW w:type="dxa" w:w="2401"/>
          </w:tcPr>
          <w:p>
            <w:r/>
            <w:r>
              <w:rPr>
                <w:u/>
              </w:rPr>
              <w:fldChar w:fldCharType="begin"/>
              <w:instrText xml:space="preserve"> FORMTEXT </w:instrText>
              <w:fldChar w:fldCharType="separate"/>
              <w:t>                             </w:t>
              <w:fldChar w:fldCharType="end"/>
            </w:r>
          </w:p>
        </w:tc>
        <w:tc>
          <w:tcPr>
            <w:tcW w:type="dxa" w:w="2401"/>
          </w:tcPr>
          <w:p>
            <w:r/>
            <w:r>
              <w:rPr>
                <w:b w:val="0"/>
                <w:i w:val="0"/>
              </w:rPr>
              <w:t>Initial draft</w:t>
            </w:r>
          </w:p>
        </w:tc>
      </w:tr>
      <w:tr>
        <w:tc>
          <w:tcPr>
            <w:tcW w:type="dxa" w:w="2401"/>
            <w:shd w:val="clear" w:color="auto" w:fill="EAF0F8"/>
          </w:tcPr>
          <w:p>
            <w:r/>
            <w:r>
              <w:rPr>
                <w:b w:val="0"/>
                <w:i w:val="0"/>
              </w:rPr>
              <w:t>1.0</w:t>
            </w:r>
          </w:p>
        </w:tc>
        <w:tc>
          <w:tcPr>
            <w:tcW w:type="dxa" w:w="2401"/>
            <w:shd w:val="clear" w:color="auto" w:fill="EAF0F8"/>
          </w:tcPr>
          <w:p>
            <w:r/>
            <w:r>
              <w:rPr>
                <w:u/>
              </w:rPr>
              <w:fldChar w:fldCharType="begin"/>
              <w:instrText xml:space="preserve"> FORMTEXT </w:instrText>
              <w:fldChar w:fldCharType="separate"/>
              <w:t>                             </w:t>
              <w:fldChar w:fldCharType="end"/>
            </w:r>
          </w:p>
        </w:tc>
        <w:tc>
          <w:tcPr>
            <w:tcW w:type="dxa" w:w="2401"/>
            <w:shd w:val="clear" w:color="auto" w:fill="EAF0F8"/>
          </w:tcPr>
          <w:p>
            <w:r/>
            <w:r>
              <w:rPr>
                <w:u/>
              </w:rPr>
              <w:fldChar w:fldCharType="begin"/>
              <w:instrText xml:space="preserve"> FORMTEXT </w:instrText>
              <w:fldChar w:fldCharType="separate"/>
              <w:t>                             </w:t>
              <w:fldChar w:fldCharType="end"/>
            </w:r>
          </w:p>
        </w:tc>
        <w:tc>
          <w:tcPr>
            <w:tcW w:type="dxa" w:w="2401"/>
            <w:shd w:val="clear" w:color="auto" w:fill="EAF0F8"/>
          </w:tcPr>
          <w:p>
            <w:r/>
            <w:r>
              <w:rPr>
                <w:b w:val="0"/>
                <w:i w:val="0"/>
              </w:rPr>
              <w:t>Approved by CEO</w:t>
            </w:r>
          </w:p>
        </w:tc>
      </w:tr>
    </w:tbl>
    <w:p>
      <w:pPr>
        <w:spacing w:after="40"/>
      </w:pPr>
    </w:p>
    <w:p>
      <w:pPr>
        <w:spacing w:after="80" w:before="0"/>
      </w:pPr>
      <w:r>
        <w:rPr>
          <w:b w:val="0"/>
          <w:i w:val="0"/>
          <w:sz w:val="21"/>
        </w:rPr>
        <w:t>*Template from "The Governance, Risk and Compliance Architect" (Hendriksen, 2026). Adapt to your organization's context before use.*</w:t>
      </w:r>
    </w:p>
    <w:sectPr w:rsidR="00FC693F" w:rsidRPr="0006063C" w:rsidSect="00034616">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ocumentProtection w:edit="forms" w:enforcement="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