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INCIDENT RESPONSE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-IRP-001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 / Incident Response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Management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 + after every major incident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Controls A.5.24-A.5.28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Defines how the Organization detects, responds to, contains,</w:t>
      </w:r>
    </w:p>
    <w:p>
      <w:pPr>
        <w:spacing w:after="120"/>
        <w:ind w:left="360"/>
      </w:pPr>
      <w:r>
        <w:rPr>
          <w:b w:val="0"/>
          <w:i/>
        </w:rPr>
        <w:t>eradicates, and recovers from information security incidents. This plan</w:t>
      </w:r>
    </w:p>
    <w:p>
      <w:pPr>
        <w:spacing w:after="120"/>
        <w:ind w:left="360"/>
      </w:pPr>
      <w:r>
        <w:rPr>
          <w:b w:val="0"/>
          <w:i/>
        </w:rPr>
        <w:t>implements the incident management controls (A.5.24-A.5.28) and supports</w:t>
      </w:r>
    </w:p>
    <w:p>
      <w:pPr>
        <w:spacing w:after="120"/>
        <w:ind w:left="360"/>
      </w:pPr>
      <w:r>
        <w:rPr>
          <w:b w:val="0"/>
          <w:i/>
        </w:rPr>
        <w:t>regulatory reporting obligations (GDPR 72h, NIS2 24h/72h, DORA 4h/24h).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INCIDENT DEFINITIONS AND SEVERITY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Severity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Examples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Response Window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Critical (S1)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Active breach; data exfiltration; ransomware; system compromise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Ransomware, APT, mass data theft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Immediate, 24/7 escalation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High (S2)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Significant disruption; confirmed unauthorized access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Phishing with credential loss, malware outbreak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Within 2 hours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Medium (S3)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Contained incident; policy violation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Single malware detection, lost device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Within 8 hours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Low (S4)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Minor event; no impact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Phishing report, false positive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Within 24 hours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DETECTION AND REPORTING</w:t>
      </w:r>
    </w:p>
    <w:p>
      <w:pPr>
        <w:spacing w:after="80" w:before="0"/>
      </w:pPr>
      <w:r>
        <w:rPr>
          <w:b w:val="0"/>
          <w:i w:val="0"/>
          <w:sz w:val="21"/>
        </w:rPr>
        <w:t>2.1. **Reporting channels** (all staff):</w:t>
      </w:r>
    </w:p>
    <w:p>
      <w:pPr>
        <w:spacing w:after="40"/>
        <w:ind w:left="432"/>
      </w:pPr>
      <w:r>
        <w:rPr>
          <w:b w:val="0"/>
          <w:i w:val="0"/>
        </w:rPr>
        <w:t xml:space="preserve">Email: </w:t>
      </w:r>
      <w:r>
        <w:rPr>
          <w:b w:val="0"/>
          <w:i w:val="0"/>
        </w:rPr>
        <w:t xml:space="preserve">security@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Phone: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Ticketing: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>2.2. All staff MUST report suspected incidents without delay (A.6.8).</w:t>
      </w:r>
    </w:p>
    <w:p>
      <w:pPr>
        <w:spacing w:after="80" w:before="0"/>
      </w:pPr>
      <w:r>
        <w:rPr>
          <w:b w:val="0"/>
          <w:i w:val="0"/>
          <w:sz w:val="21"/>
        </w:rPr>
        <w:t>Never wait for confirmation — report first, classify later.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RESPONSE TEAM AND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Incident Commander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Overall coordination, decisions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Technical Lead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Containment, eradication, forensics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Communications Lead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Internal/external comms, regulatory notifications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Legal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Legal obligations, privilege, regulator liaison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Business Owner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Business continuity decisions, customer impact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RESPONSE PHASES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Phase 1 — Triage (S1: within 30 min)</w:t>
      </w:r>
    </w:p>
    <w:p>
      <w:pPr>
        <w:spacing w:after="40"/>
        <w:ind w:left="432"/>
      </w:pPr>
      <w:r>
        <w:rPr>
          <w:b w:val="0"/>
          <w:i w:val="0"/>
        </w:rPr>
        <w:t>Confirm the incident, assign severity</w:t>
      </w:r>
    </w:p>
    <w:p>
      <w:pPr>
        <w:spacing w:after="40"/>
        <w:ind w:left="432"/>
      </w:pPr>
      <w:r>
        <w:rPr>
          <w:b w:val="0"/>
          <w:i w:val="0"/>
        </w:rPr>
        <w:t>Assemble the response team</w:t>
      </w:r>
    </w:p>
    <w:p>
      <w:pPr>
        <w:spacing w:after="40"/>
        <w:ind w:left="432"/>
      </w:pPr>
      <w:r>
        <w:rPr>
          <w:b w:val="0"/>
          <w:i w:val="0"/>
        </w:rPr>
        <w:t>Preserve evidence (do not delete logs, take forensic images)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Phase 2 — Containment (S1: within 2 hours)</w:t>
      </w:r>
    </w:p>
    <w:p>
      <w:pPr>
        <w:spacing w:after="40"/>
        <w:ind w:left="432"/>
      </w:pPr>
      <w:r>
        <w:rPr>
          <w:b w:val="0"/>
          <w:i w:val="0"/>
        </w:rPr>
        <w:t>Isolate affected systems (disconnect, segment)</w:t>
      </w:r>
    </w:p>
    <w:p>
      <w:pPr>
        <w:spacing w:after="40"/>
        <w:ind w:left="432"/>
      </w:pPr>
      <w:r>
        <w:rPr>
          <w:b w:val="0"/>
          <w:i w:val="0"/>
        </w:rPr>
        <w:t>Preserve evidence before remediation</w:t>
      </w:r>
    </w:p>
    <w:p>
      <w:pPr>
        <w:spacing w:after="40"/>
        <w:ind w:left="432"/>
      </w:pPr>
      <w:r>
        <w:rPr>
          <w:b w:val="0"/>
          <w:i w:val="0"/>
        </w:rPr>
        <w:t>Apply emergency blocks (accounts, IPs, EDR actions)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Phase 3 — Eradication and Recovery</w:t>
      </w:r>
    </w:p>
    <w:p>
      <w:pPr>
        <w:spacing w:after="40"/>
        <w:ind w:left="432"/>
      </w:pPr>
      <w:r>
        <w:rPr>
          <w:b w:val="0"/>
          <w:i w:val="0"/>
        </w:rPr>
        <w:t>Remove root cause (malware, backdoors, compromised accounts)</w:t>
      </w:r>
    </w:p>
    <w:p>
      <w:pPr>
        <w:spacing w:after="40"/>
        <w:ind w:left="432"/>
      </w:pPr>
      <w:r>
        <w:rPr>
          <w:b w:val="0"/>
          <w:i w:val="0"/>
        </w:rPr>
        <w:t>Patch and harden</w:t>
      </w:r>
    </w:p>
    <w:p>
      <w:pPr>
        <w:spacing w:after="40"/>
        <w:ind w:left="432"/>
      </w:pPr>
      <w:r>
        <w:rPr>
          <w:b w:val="0"/>
          <w:i w:val="0"/>
        </w:rPr>
        <w:t>Restore from verified clean backups</w:t>
      </w:r>
    </w:p>
    <w:p>
      <w:pPr>
        <w:spacing w:after="40"/>
        <w:ind w:left="432"/>
      </w:pPr>
      <w:r>
        <w:rPr>
          <w:b w:val="0"/>
          <w:i w:val="0"/>
        </w:rPr>
        <w:t>Verify integrity before returning to service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Phase 4 — Reporting and Lessons Learned</w:t>
      </w:r>
    </w:p>
    <w:p>
      <w:pPr>
        <w:spacing w:after="40"/>
        <w:ind w:left="432"/>
      </w:pPr>
      <w:r>
        <w:rPr>
          <w:b w:val="0"/>
          <w:i w:val="0"/>
        </w:rPr>
        <w:t>Complete regulatory notifications on the required clocks</w:t>
      </w:r>
    </w:p>
    <w:p>
      <w:pPr>
        <w:spacing w:after="40"/>
        <w:ind w:left="432"/>
      </w:pPr>
      <w:r>
        <w:rPr>
          <w:b w:val="0"/>
          <w:i w:val="0"/>
        </w:rPr>
        <w:t>Conduct post-incident review (5-Whys)</w:t>
      </w:r>
    </w:p>
    <w:p>
      <w:pPr>
        <w:spacing w:after="40"/>
        <w:ind w:left="432"/>
      </w:pPr>
      <w:r>
        <w:rPr>
          <w:b w:val="0"/>
          <w:i w:val="0"/>
        </w:rPr>
        <w:t>Update controls, plans, and training</w:t>
      </w:r>
    </w:p>
    <w:p>
      <w:pPr>
        <w:spacing w:after="40"/>
        <w:ind w:left="432"/>
      </w:pPr>
      <w:r>
        <w:rPr>
          <w:b w:val="0"/>
          <w:i w:val="0"/>
        </w:rPr>
        <w:t>Document the full incident record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REGULATORY AND STAKEHOLDER NOTIFICATION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Obligation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Deadline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Responsible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GDPR breach notification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72 hours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Personal data breach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DPO/Legal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NIS2 early warning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24 hours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Significant incident (essential/important entity)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CISO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NIS2 full notification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72 hours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Same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CISO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DORA initial notification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4 hours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Major ICT-related incident (financial)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CISO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Customers / clients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Per contract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Material impact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Business Owner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Insurance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Per policy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Notify within policy window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Risk Manager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POST-INCIDENT REVIEW</w:t>
      </w:r>
    </w:p>
    <w:p>
      <w:pPr>
        <w:spacing w:after="80" w:before="0"/>
      </w:pPr>
      <w:r>
        <w:rPr>
          <w:b w:val="0"/>
          <w:i w:val="0"/>
          <w:sz w:val="21"/>
        </w:rPr>
        <w:t xml:space="preserve">6.1. Every S1/S2 incident triggers a lessons-learned review within </w:t>
      </w:r>
      <w:r>
        <w:rPr>
          <w:b w:val="0"/>
          <w:i w:val="0"/>
          <w:sz w:val="21"/>
        </w:rPr>
        <w:t>[30]</w:t>
      </w:r>
    </w:p>
    <w:p>
      <w:pPr>
        <w:spacing w:after="80" w:before="0"/>
      </w:pPr>
      <w:r>
        <w:rPr>
          <w:b w:val="0"/>
          <w:i w:val="0"/>
          <w:sz w:val="21"/>
        </w:rPr>
        <w:t>days: what happened, what worked, what failed, and what changes prevent</w:t>
      </w:r>
    </w:p>
    <w:p>
      <w:pPr>
        <w:spacing w:after="80" w:before="0"/>
      </w:pPr>
      <w:r>
        <w:rPr>
          <w:b w:val="0"/>
          <w:i w:val="0"/>
          <w:sz w:val="21"/>
        </w:rPr>
        <w:t>recurrence. Findings feed the Corrective Action Plan process.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CISO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Management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