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INFORMATION SECURITY POLICY (Level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-ISP-001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Information Security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Chief Executive Officer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(or when significant change occurs)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This is the top-level policy that establishes management</w:t>
      </w:r>
    </w:p>
    <w:p>
      <w:pPr>
        <w:spacing w:after="120"/>
        <w:ind w:left="360"/>
      </w:pPr>
      <w:r>
        <w:rPr>
          <w:b w:val="0"/>
          <w:i/>
        </w:rPr>
        <w:t>commitment to information security, defines the scope of the ISMS, and</w:t>
      </w:r>
    </w:p>
    <w:p>
      <w:pPr>
        <w:spacing w:after="120"/>
        <w:ind w:left="360"/>
      </w:pPr>
      <w:r>
        <w:rPr>
          <w:b w:val="0"/>
          <w:i/>
        </w:rPr>
        <w:t>delegates authority. It is the document the CEO signs and the auditor</w:t>
      </w:r>
    </w:p>
    <w:p>
      <w:pPr>
        <w:spacing w:after="120"/>
        <w:ind w:left="360"/>
      </w:pPr>
      <w:r>
        <w:rPr>
          <w:b w:val="0"/>
          <w:i/>
        </w:rPr>
        <w:t>asks for first. All subordinate policies must trace their authority</w:t>
      </w:r>
    </w:p>
    <w:p>
      <w:pPr>
        <w:spacing w:after="120"/>
        <w:ind w:left="360"/>
      </w:pPr>
      <w:r>
        <w:rPr>
          <w:b w:val="0"/>
          <w:i/>
        </w:rPr>
        <w:t>to this document.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PURPOSE AND OBJECTIVES</w:t>
      </w:r>
    </w:p>
    <w:p>
      <w:pPr>
        <w:spacing w:after="80" w:before="0"/>
      </w:pPr>
      <w:r>
        <w:rPr>
          <w:b w:val="0"/>
          <w:i w:val="0"/>
          <w:sz w:val="21"/>
        </w:rPr>
        <w:t>1.1. This policy establishes the framework for managing information security</w:t>
      </w:r>
    </w:p>
    <w:p>
      <w:pPr>
        <w:spacing w:after="80" w:before="0"/>
      </w:pPr>
      <w:r>
        <w:rPr>
          <w:b w:val="0"/>
          <w:i w:val="0"/>
          <w:sz w:val="21"/>
        </w:rPr>
        <w:t xml:space="preserve">across </w:t>
      </w:r>
      <w:r>
        <w:rPr>
          <w:b w:val="0"/>
          <w:i w:val="0"/>
          <w:sz w:val="21"/>
        </w:rPr>
        <w:t>[ORG NAME]</w:t>
      </w:r>
      <w:r>
        <w:rPr>
          <w:b w:val="0"/>
          <w:i w:val="0"/>
          <w:sz w:val="21"/>
        </w:rPr>
        <w:t xml:space="preserve"> (hereafter "the Organization").</w:t>
      </w:r>
    </w:p>
    <w:p>
      <w:pPr>
        <w:spacing w:after="80" w:before="0"/>
      </w:pPr>
      <w:r>
        <w:rPr>
          <w:b w:val="0"/>
          <w:i w:val="0"/>
          <w:sz w:val="21"/>
        </w:rPr>
        <w:t>1.2. The objectives of the ISMS are to:</w:t>
      </w:r>
    </w:p>
    <w:p>
      <w:pPr>
        <w:spacing w:after="40"/>
        <w:ind w:left="432"/>
      </w:pPr>
      <w:r>
        <w:rPr>
          <w:b w:val="0"/>
          <w:i w:val="0"/>
        </w:rPr>
        <w:t>Protect the confidentiality, integrity, and availability of information assets</w:t>
      </w:r>
    </w:p>
    <w:p>
      <w:pPr>
        <w:spacing w:after="40"/>
        <w:ind w:left="432"/>
      </w:pPr>
      <w:r>
        <w:rPr>
          <w:b w:val="0"/>
          <w:i w:val="0"/>
        </w:rPr>
        <w:t>Meet applicable legal, regulatory, and contractual obligations</w:t>
      </w:r>
    </w:p>
    <w:p>
      <w:pPr>
        <w:spacing w:after="40"/>
        <w:ind w:left="432"/>
      </w:pPr>
      <w:r>
        <w:rPr>
          <w:b w:val="0"/>
          <w:i w:val="0"/>
        </w:rPr>
        <w:t>Manage information security risk to a level acceptable to senior management</w:t>
      </w:r>
    </w:p>
    <w:p>
      <w:pPr>
        <w:spacing w:after="40"/>
        <w:ind w:left="432"/>
      </w:pPr>
      <w:r>
        <w:rPr>
          <w:b w:val="0"/>
          <w:i w:val="0"/>
        </w:rPr>
        <w:t>Continually improve the effectiveness of the ISMS (Clause 10.1)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SCOPE</w:t>
      </w:r>
    </w:p>
    <w:p>
      <w:pPr>
        <w:spacing w:after="80" w:before="0"/>
      </w:pPr>
      <w:r>
        <w:rPr>
          <w:b w:val="0"/>
          <w:i w:val="0"/>
          <w:sz w:val="21"/>
        </w:rPr>
        <w:t>2.1. The ISMS applies 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Scope Element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Organizational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All departments / specific business units: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Physical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Sites, offices, data centers: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Technical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Systems, networks, applications, cloud services: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People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All employees, contractors, temporary staff, third parties: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 xml:space="preserve">2.2. Exclusions from scope (each must be justified):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AUTHORITY AND RESPONSIBILITY</w:t>
      </w:r>
    </w:p>
    <w:p>
      <w:pPr>
        <w:spacing w:after="80" w:before="0"/>
      </w:pPr>
      <w:r>
        <w:rPr>
          <w:b w:val="0"/>
          <w:i w:val="0"/>
          <w:sz w:val="21"/>
        </w:rPr>
        <w:t>3.1. The **Chief Executive Officer** owns this policy and provides final</w:t>
      </w:r>
    </w:p>
    <w:p>
      <w:pPr>
        <w:spacing w:after="80" w:before="0"/>
      </w:pPr>
      <w:r>
        <w:rPr>
          <w:b w:val="0"/>
          <w:i w:val="0"/>
          <w:sz w:val="21"/>
        </w:rPr>
        <w:t>authority for the ISMS.</w:t>
      </w:r>
    </w:p>
    <w:p>
      <w:pPr>
        <w:spacing w:after="80" w:before="0"/>
      </w:pPr>
      <w:r>
        <w:rPr>
          <w:b w:val="0"/>
          <w:i w:val="0"/>
          <w:sz w:val="21"/>
        </w:rPr>
        <w:t>3.2. The **CISO / Information Security Manager** is responsible for</w:t>
      </w:r>
    </w:p>
    <w:p>
      <w:pPr>
        <w:spacing w:after="80" w:before="0"/>
      </w:pPr>
      <w:r>
        <w:rPr>
          <w:b w:val="0"/>
          <w:i w:val="0"/>
          <w:sz w:val="21"/>
        </w:rPr>
        <w:t>implementing, maintaining, and continually improving the ISMS, and reports</w:t>
      </w:r>
    </w:p>
    <w:p>
      <w:pPr>
        <w:spacing w:after="80" w:before="0"/>
      </w:pPr>
      <w:r>
        <w:rPr>
          <w:b w:val="0"/>
          <w:i w:val="0"/>
          <w:sz w:val="21"/>
        </w:rPr>
        <w:t>to senior management at least annually (Clause 9.3).</w:t>
      </w:r>
    </w:p>
    <w:p>
      <w:pPr>
        <w:spacing w:after="80" w:before="0"/>
      </w:pPr>
      <w:r>
        <w:rPr>
          <w:b w:val="0"/>
          <w:i w:val="0"/>
          <w:sz w:val="21"/>
        </w:rPr>
        <w:t>3.3. The **Information Security Steering Committee (ISSC)** oversees the</w:t>
      </w:r>
    </w:p>
    <w:p>
      <w:pPr>
        <w:spacing w:after="80" w:before="0"/>
      </w:pPr>
      <w:r>
        <w:rPr>
          <w:b w:val="0"/>
          <w:i w:val="0"/>
          <w:sz w:val="21"/>
        </w:rPr>
        <w:t>ISMS, reviews risk treatment progress, and approves major changes.</w:t>
      </w:r>
    </w:p>
    <w:p>
      <w:pPr>
        <w:spacing w:after="80" w:before="0"/>
      </w:pPr>
      <w:r>
        <w:rPr>
          <w:b w:val="0"/>
          <w:i w:val="0"/>
          <w:sz w:val="21"/>
        </w:rPr>
        <w:t>See the ISSC Charter template.</w:t>
      </w:r>
    </w:p>
    <w:p>
      <w:pPr>
        <w:spacing w:after="80" w:before="0"/>
      </w:pPr>
      <w:r>
        <w:rPr>
          <w:b w:val="0"/>
          <w:i w:val="0"/>
          <w:sz w:val="21"/>
        </w:rPr>
        <w:t>3.4. **All employees and contractors** are responsible for complying with</w:t>
      </w:r>
    </w:p>
    <w:p>
      <w:pPr>
        <w:spacing w:after="80" w:before="0"/>
      </w:pPr>
      <w:r>
        <w:rPr>
          <w:b w:val="0"/>
          <w:i w:val="0"/>
          <w:sz w:val="21"/>
        </w:rPr>
        <w:t>this policy and the subordinate policies, and for reporting security</w:t>
      </w:r>
    </w:p>
    <w:p>
      <w:pPr>
        <w:spacing w:after="80" w:before="0"/>
      </w:pPr>
      <w:r>
        <w:rPr>
          <w:b w:val="0"/>
          <w:i w:val="0"/>
          <w:sz w:val="21"/>
        </w:rPr>
        <w:t>incidents and weaknesses without delay.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RISK MANAGEMENT FRAMEWORK</w:t>
      </w:r>
    </w:p>
    <w:p>
      <w:pPr>
        <w:spacing w:after="80" w:before="0"/>
      </w:pPr>
      <w:r>
        <w:rPr>
          <w:b w:val="0"/>
          <w:i w:val="0"/>
          <w:sz w:val="21"/>
        </w:rPr>
        <w:t>4.1. Information security risk is managed in accordance with the Risk</w:t>
      </w:r>
    </w:p>
    <w:p>
      <w:pPr>
        <w:spacing w:after="80" w:before="0"/>
      </w:pPr>
      <w:r>
        <w:rPr>
          <w:b w:val="0"/>
          <w:i w:val="0"/>
          <w:sz w:val="21"/>
        </w:rPr>
        <w:t>Assessment Methodology (RAM). Risk assessment is performed at least</w:t>
      </w:r>
    </w:p>
    <w:p>
      <w:pPr>
        <w:spacing w:after="80" w:before="0"/>
      </w:pPr>
      <w:r>
        <w:rPr>
          <w:b w:val="0"/>
          <w:i w:val="0"/>
          <w:sz w:val="21"/>
        </w:rPr>
        <w:t>annually and whenever significant changes occur (Clause 6.1).</w:t>
      </w:r>
    </w:p>
    <w:p>
      <w:pPr>
        <w:spacing w:after="80" w:before="0"/>
      </w:pPr>
      <w:r>
        <w:rPr>
          <w:b w:val="0"/>
          <w:i w:val="0"/>
          <w:sz w:val="21"/>
        </w:rPr>
        <w:t>4.2. Risk treatment follows the four options defined in the RAM: mitigate,</w:t>
      </w:r>
    </w:p>
    <w:p>
      <w:pPr>
        <w:spacing w:after="80" w:before="0"/>
      </w:pPr>
      <w:r>
        <w:rPr>
          <w:b w:val="0"/>
          <w:i w:val="0"/>
          <w:sz w:val="21"/>
        </w:rPr>
        <w:t>transfer, avoid, or accept. Residual risk is documented in the Risk</w:t>
      </w:r>
    </w:p>
    <w:p>
      <w:pPr>
        <w:spacing w:after="80" w:before="0"/>
      </w:pPr>
      <w:r>
        <w:rPr>
          <w:b w:val="0"/>
          <w:i w:val="0"/>
          <w:sz w:val="21"/>
        </w:rPr>
        <w:t>Register and accepted by the risk owner.</w:t>
      </w:r>
    </w:p>
    <w:p>
      <w:pPr>
        <w:spacing w:after="80" w:before="0"/>
      </w:pPr>
      <w:r>
        <w:rPr>
          <w:b w:val="0"/>
          <w:i w:val="0"/>
          <w:sz w:val="21"/>
        </w:rPr>
        <w:t>4.3. The Statement of Applicability (SoA) documents which Annex A controls</w:t>
      </w:r>
    </w:p>
    <w:p>
      <w:pPr>
        <w:spacing w:after="80" w:before="0"/>
      </w:pPr>
      <w:r>
        <w:rPr>
          <w:b w:val="0"/>
          <w:i w:val="0"/>
          <w:sz w:val="21"/>
        </w:rPr>
        <w:t>apply and the justification for exclusions, in accordance with Clause</w:t>
      </w:r>
    </w:p>
    <w:p>
      <w:pPr>
        <w:spacing w:after="80" w:before="0"/>
      </w:pPr>
      <w:r>
        <w:rPr>
          <w:b w:val="0"/>
          <w:i w:val="0"/>
          <w:sz w:val="21"/>
        </w:rPr>
        <w:t>6.1.3(d).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CONTROL FRAMEWORK</w:t>
      </w:r>
    </w:p>
    <w:p>
      <w:pPr>
        <w:spacing w:after="80" w:before="0"/>
      </w:pPr>
      <w:r>
        <w:rPr>
          <w:b w:val="0"/>
          <w:i w:val="0"/>
          <w:sz w:val="21"/>
        </w:rPr>
        <w:t>5.1. The Organization applies the controls of ISO/IEC 27001:2022 Annex A as</w:t>
      </w:r>
    </w:p>
    <w:p>
      <w:pPr>
        <w:spacing w:after="80" w:before="0"/>
      </w:pPr>
      <w:r>
        <w:rPr>
          <w:b w:val="0"/>
          <w:i w:val="0"/>
          <w:sz w:val="21"/>
        </w:rPr>
        <w:t>determined by risk treatment. Controls are organized under the four themes: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Theme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 Range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Organizational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A.5.1–A.5.37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37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People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A.6.1–A.6.8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Physical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A.7.1–A.7.14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14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Technological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A.8.1–A.8.34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34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5.2. Subordinate policies and procedures implement these controls. See the</w:t>
      </w:r>
    </w:p>
    <w:p>
      <w:pPr>
        <w:spacing w:after="80" w:before="0"/>
      </w:pPr>
      <w:r>
        <w:rPr>
          <w:b w:val="0"/>
          <w:i w:val="0"/>
          <w:sz w:val="21"/>
        </w:rPr>
        <w:t>Policy Architecture appendix in the book for the full document tree.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COMPLIANCE</w:t>
      </w:r>
    </w:p>
    <w:p>
      <w:pPr>
        <w:spacing w:after="80" w:before="0"/>
      </w:pPr>
      <w:r>
        <w:rPr>
          <w:b w:val="0"/>
          <w:i w:val="0"/>
          <w:sz w:val="21"/>
        </w:rPr>
        <w:t>6.1. The Organization complies with all applicable legal and regulatory</w:t>
      </w:r>
    </w:p>
    <w:p>
      <w:pPr>
        <w:spacing w:after="80" w:before="0"/>
      </w:pPr>
      <w:r>
        <w:rPr>
          <w:b w:val="0"/>
          <w:i w:val="0"/>
          <w:sz w:val="21"/>
        </w:rPr>
        <w:t>requirements, including but not limited to: GDPR, NIS2, DORA (where</w:t>
      </w:r>
    </w:p>
    <w:p>
      <w:pPr>
        <w:spacing w:after="80" w:before="0"/>
      </w:pPr>
      <w:r>
        <w:rPr>
          <w:b w:val="0"/>
          <w:i w:val="0"/>
          <w:sz w:val="21"/>
        </w:rPr>
        <w:t>applicable), the EU AI Act, and the Cyber Resilience Act (where applicable).</w:t>
      </w:r>
    </w:p>
    <w:p>
      <w:pPr>
        <w:spacing w:after="80" w:before="0"/>
      </w:pPr>
      <w:r>
        <w:rPr>
          <w:b w:val="0"/>
          <w:i w:val="0"/>
          <w:sz w:val="21"/>
        </w:rPr>
        <w:t>6.2. Compliance is verified through the internal audit program (Clause 9.2)</w:t>
      </w:r>
    </w:p>
    <w:p>
      <w:pPr>
        <w:spacing w:after="80" w:before="0"/>
      </w:pPr>
      <w:r>
        <w:rPr>
          <w:b w:val="0"/>
          <w:i w:val="0"/>
          <w:sz w:val="21"/>
        </w:rPr>
        <w:t>and management review (Clause 9.3).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REPORTING AND REVIEW</w:t>
      </w:r>
    </w:p>
    <w:p>
      <w:pPr>
        <w:spacing w:after="80" w:before="0"/>
      </w:pPr>
      <w:r>
        <w:rPr>
          <w:b w:val="0"/>
          <w:i w:val="0"/>
          <w:sz w:val="21"/>
        </w:rPr>
        <w:t>7.1. This policy is reviewed at planned intervals (at least annually) or</w:t>
      </w:r>
    </w:p>
    <w:p>
      <w:pPr>
        <w:spacing w:after="80" w:before="0"/>
      </w:pPr>
      <w:r>
        <w:rPr>
          <w:b w:val="0"/>
          <w:i w:val="0"/>
          <w:sz w:val="21"/>
        </w:rPr>
        <w:t>when significant changes occur (Clause 7.5).</w:t>
      </w:r>
    </w:p>
    <w:p>
      <w:pPr>
        <w:spacing w:after="80" w:before="0"/>
      </w:pPr>
      <w:r>
        <w:rPr>
          <w:b w:val="0"/>
          <w:i w:val="0"/>
          <w:sz w:val="21"/>
        </w:rPr>
        <w:t>7.2. Proposed changes are submitted to the ISSC for approval and to the</w:t>
      </w:r>
    </w:p>
    <w:p>
      <w:pPr>
        <w:spacing w:after="80" w:before="0"/>
      </w:pPr>
      <w:r>
        <w:rPr>
          <w:b w:val="0"/>
          <w:i w:val="0"/>
          <w:sz w:val="21"/>
        </w:rPr>
        <w:t>CEO for sign-off.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Policy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ISSC Chair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CEO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