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INTERNAL AUDIT PROCEDURE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-IAP-001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Internal Audit Manager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Management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Annual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Related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Clause 9.2 (Internal Audit), Audit Plan, Audit Report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Defines how internal audits are planned, executed, reported,</w:t>
      </w:r>
    </w:p>
    <w:p>
      <w:pPr>
        <w:spacing w:after="120"/>
        <w:ind w:left="360"/>
      </w:pPr>
      <w:r>
        <w:rPr>
          <w:b w:val="0"/>
          <w:i/>
        </w:rPr>
        <w:t>and followed up. ISO 27001 Clause 9.2 requires audits at planned</w:t>
      </w:r>
    </w:p>
    <w:p>
      <w:pPr>
        <w:spacing w:after="120"/>
        <w:ind w:left="360"/>
      </w:pPr>
      <w:r>
        <w:rPr>
          <w:b w:val="0"/>
          <w:i/>
        </w:rPr>
        <w:t>intervals against the ISMS requirements and the SoA. This procedure makes</w:t>
      </w:r>
    </w:p>
    <w:p>
      <w:pPr>
        <w:spacing w:after="120"/>
        <w:ind w:left="360"/>
      </w:pPr>
      <w:r>
        <w:rPr>
          <w:b w:val="0"/>
          <w:i/>
        </w:rPr>
        <w:t>the audit program repeatable and defensible.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AUDIT PLANNING</w:t>
      </w:r>
    </w:p>
    <w:p>
      <w:pPr>
        <w:spacing w:after="80" w:before="0"/>
      </w:pPr>
      <w:r>
        <w:rPr>
          <w:b w:val="0"/>
          <w:i w:val="0"/>
          <w:sz w:val="21"/>
        </w:rPr>
        <w:t>1.1. An **annual audit plan** is prepared covering:</w:t>
      </w:r>
    </w:p>
    <w:p>
      <w:pPr>
        <w:spacing w:after="40"/>
        <w:ind w:left="432"/>
      </w:pPr>
      <w:r>
        <w:rPr>
          <w:b w:val="0"/>
          <w:i w:val="0"/>
        </w:rPr>
        <w:t>All ISO 27001 main body Clauses (4-10)</w:t>
      </w:r>
    </w:p>
    <w:p>
      <w:pPr>
        <w:spacing w:after="40"/>
        <w:ind w:left="432"/>
      </w:pPr>
      <w:r>
        <w:rPr>
          <w:b w:val="0"/>
          <w:i w:val="0"/>
        </w:rPr>
        <w:t>A sample of Annex A controls from each theme (A.5.x, A.6.x, A.7.x, A.8.x)</w:t>
      </w:r>
    </w:p>
    <w:p>
      <w:pPr>
        <w:spacing w:after="40"/>
        <w:ind w:left="432"/>
      </w:pPr>
      <w:r>
        <w:rPr>
          <w:b w:val="0"/>
          <w:i w:val="0"/>
        </w:rPr>
        <w:t>High-risk processes and recent changes (risk-prioritized)</w:t>
      </w:r>
    </w:p>
    <w:p>
      <w:pPr>
        <w:spacing w:after="80" w:before="0"/>
      </w:pPr>
      <w:r>
        <w:rPr>
          <w:b w:val="0"/>
          <w:i w:val="0"/>
          <w:sz w:val="21"/>
        </w:rPr>
        <w:t>1.2. Audit frequency is risk-based: critical processes audited at least</w:t>
      </w:r>
    </w:p>
    <w:p>
      <w:pPr>
        <w:spacing w:after="80" w:before="0"/>
      </w:pPr>
      <w:r>
        <w:rPr>
          <w:b w:val="0"/>
          <w:i w:val="0"/>
          <w:sz w:val="21"/>
        </w:rPr>
        <w:t>annually; lower-risk areas on a rolling two-year cycle.</w:t>
      </w:r>
    </w:p>
    <w:p>
      <w:pPr>
        <w:spacing w:after="80" w:before="0"/>
      </w:pPr>
      <w:r>
        <w:rPr>
          <w:b w:val="0"/>
          <w:i w:val="0"/>
          <w:sz w:val="21"/>
        </w:rPr>
        <w:t>1.3. Auditors must be independent of the area audited (Clause 9.2.5).</w:t>
      </w:r>
    </w:p>
    <w:p>
      <w:pPr>
        <w:spacing w:after="80" w:before="0"/>
      </w:pPr>
      <w:r>
        <w:rPr>
          <w:b w:val="0"/>
          <w:i w:val="0"/>
          <w:sz w:val="21"/>
        </w:rPr>
        <w:t>Internal auditors do not audit their own work.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AUDIT EXECUTION</w:t>
      </w:r>
    </w:p>
    <w:p>
      <w:pPr>
        <w:spacing w:after="80" w:before="0"/>
      </w:pPr>
      <w:r>
        <w:rPr>
          <w:b w:val="0"/>
          <w:i w:val="0"/>
          <w:sz w:val="21"/>
        </w:rPr>
        <w:t>2.1. Each audit follows the steps: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Activity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Opening meeting: scope, criteria, logistics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Meeting record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Document review: policies, SoA, records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Reviewed documents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Fieldwork: interviews, observation, sampling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Working papers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Testing: control verification (config checks, log review, live verification)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Test results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Closing meeting: preliminary findings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Meeting record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Report issuance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Audit Report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2.2. **Sampling** — a representative sample of records is tested (e.g., 10</w:t>
      </w:r>
    </w:p>
    <w:p>
      <w:pPr>
        <w:spacing w:after="80" w:before="0"/>
      </w:pPr>
      <w:r>
        <w:rPr>
          <w:b w:val="0"/>
          <w:i w:val="0"/>
          <w:sz w:val="21"/>
        </w:rPr>
        <w:t>access reviews, 5 terminations, 3 change tickets). Sample sizes are</w:t>
      </w:r>
    </w:p>
    <w:p>
      <w:pPr>
        <w:spacing w:after="80" w:before="0"/>
      </w:pPr>
      <w:r>
        <w:rPr>
          <w:b w:val="0"/>
          <w:i w:val="0"/>
          <w:sz w:val="21"/>
        </w:rPr>
        <w:t>documented in the working papers.</w:t>
      </w:r>
    </w:p>
    <w:p>
      <w:pPr>
        <w:spacing w:after="80" w:before="0"/>
      </w:pPr>
      <w:r>
        <w:rPr>
          <w:b w:val="0"/>
          <w:i w:val="0"/>
          <w:sz w:val="21"/>
        </w:rPr>
        <w:t>2.3. **Finding classification:**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Classification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Definition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Major NC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Significant failure; system does not meet requirements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No risk assessment performed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Minor NC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Isolated failure; system largely effective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One stale access review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Observation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Risk of future nonconformity; improvement opportunity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Missing evidence of training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Good Practice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Commendable practice exceeding requirements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Automated evidence collection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REPORTING</w:t>
      </w:r>
    </w:p>
    <w:p>
      <w:pPr>
        <w:spacing w:after="80" w:before="0"/>
      </w:pPr>
      <w:r>
        <w:rPr>
          <w:b w:val="0"/>
          <w:i w:val="0"/>
          <w:sz w:val="21"/>
        </w:rPr>
        <w:t>3.1. The audit report contains:</w:t>
      </w:r>
    </w:p>
    <w:p>
      <w:pPr>
        <w:spacing w:after="40"/>
        <w:ind w:left="432"/>
      </w:pPr>
      <w:r>
        <w:rPr>
          <w:b w:val="0"/>
          <w:i w:val="0"/>
        </w:rPr>
        <w:t>Scope, criteria, and auditor</w:t>
      </w:r>
    </w:p>
    <w:p>
      <w:pPr>
        <w:spacing w:after="40"/>
        <w:ind w:left="432"/>
      </w:pPr>
      <w:r>
        <w:rPr>
          <w:b w:val="0"/>
          <w:i w:val="0"/>
        </w:rPr>
        <w:t>Summary of coverage</w:t>
      </w:r>
    </w:p>
    <w:p>
      <w:pPr>
        <w:spacing w:after="40"/>
        <w:ind w:left="432"/>
      </w:pPr>
      <w:r>
        <w:rPr>
          <w:b w:val="0"/>
          <w:i w:val="0"/>
        </w:rPr>
        <w:t>Findings with: requirement cited (Clause or A.X.XX), evidence, impact,</w:t>
      </w:r>
    </w:p>
    <w:p>
      <w:pPr>
        <w:spacing w:after="80" w:before="0"/>
      </w:pPr>
      <w:r>
        <w:rPr>
          <w:b w:val="0"/>
          <w:i w:val="0"/>
          <w:sz w:val="21"/>
        </w:rPr>
        <w:t>recommendation</w:t>
      </w:r>
    </w:p>
    <w:p>
      <w:pPr>
        <w:spacing w:after="40"/>
        <w:ind w:left="432"/>
      </w:pPr>
      <w:r>
        <w:rPr>
          <w:b w:val="0"/>
          <w:i w:val="0"/>
        </w:rPr>
        <w:t>Auditee responses</w:t>
      </w:r>
    </w:p>
    <w:p>
      <w:pPr>
        <w:spacing w:after="40"/>
        <w:ind w:left="432"/>
      </w:pPr>
      <w:r>
        <w:rPr>
          <w:b w:val="0"/>
          <w:i w:val="0"/>
        </w:rPr>
        <w:t>Overall conclusion and audit opinion</w:t>
      </w:r>
    </w:p>
    <w:p>
      <w:pPr>
        <w:spacing w:after="80" w:before="0"/>
      </w:pPr>
      <w:r>
        <w:rPr>
          <w:b w:val="0"/>
          <w:i w:val="0"/>
          <w:sz w:val="21"/>
        </w:rPr>
        <w:t xml:space="preserve">3.2. Reports are issued within </w:t>
      </w:r>
      <w:r>
        <w:rPr>
          <w:b w:val="0"/>
          <w:i w:val="0"/>
          <w:sz w:val="21"/>
        </w:rPr>
        <w:t>[10]</w:t>
      </w:r>
      <w:r>
        <w:rPr>
          <w:b w:val="0"/>
          <w:i w:val="0"/>
          <w:sz w:val="21"/>
        </w:rPr>
        <w:t xml:space="preserve"> working days of the closing meeting</w:t>
      </w:r>
    </w:p>
    <w:p>
      <w:pPr>
        <w:spacing w:after="80" w:before="0"/>
      </w:pPr>
      <w:r>
        <w:rPr>
          <w:b w:val="0"/>
          <w:i w:val="0"/>
          <w:sz w:val="21"/>
        </w:rPr>
        <w:t>and distributed to the auditee, the CISO, and management.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CORRECTIVE ACTION AND FOLLOW-UP</w:t>
      </w:r>
    </w:p>
    <w:p>
      <w:pPr>
        <w:spacing w:after="80" w:before="0"/>
      </w:pPr>
      <w:r>
        <w:rPr>
          <w:b w:val="0"/>
          <w:i w:val="0"/>
          <w:sz w:val="21"/>
        </w:rPr>
        <w:t>4.1. Nonconformities require a **Corrective Action Plan** (see template):</w:t>
      </w:r>
    </w:p>
    <w:p>
      <w:pPr>
        <w:spacing w:after="80" w:before="0"/>
      </w:pPr>
      <w:r>
        <w:rPr>
          <w:b w:val="0"/>
          <w:i w:val="0"/>
          <w:sz w:val="21"/>
        </w:rPr>
        <w:t>root cause analysis (5-Whys), correction (immediate fix), corrective</w:t>
      </w:r>
    </w:p>
    <w:p>
      <w:pPr>
        <w:spacing w:after="80" w:before="0"/>
      </w:pPr>
      <w:r>
        <w:rPr>
          <w:b w:val="0"/>
          <w:i w:val="0"/>
          <w:sz w:val="21"/>
        </w:rPr>
        <w:t>action (prevent recurrence), owner, and target date.</w:t>
      </w:r>
    </w:p>
    <w:p>
      <w:pPr>
        <w:spacing w:after="80" w:before="0"/>
      </w:pPr>
      <w:r>
        <w:rPr>
          <w:b w:val="0"/>
          <w:i w:val="0"/>
          <w:sz w:val="21"/>
        </w:rPr>
        <w:t>4.2. Follow-up verification is performed at the agreed date. Findings</w:t>
      </w:r>
    </w:p>
    <w:p>
      <w:pPr>
        <w:spacing w:after="80" w:before="0"/>
      </w:pPr>
      <w:r>
        <w:rPr>
          <w:b w:val="0"/>
          <w:i w:val="0"/>
          <w:sz w:val="21"/>
        </w:rPr>
        <w:t>remain open until verified closed.</w:t>
      </w:r>
    </w:p>
    <w:p>
      <w:pPr>
        <w:spacing w:after="80" w:before="0"/>
      </w:pPr>
      <w:r>
        <w:rPr>
          <w:b w:val="0"/>
          <w:i w:val="0"/>
          <w:sz w:val="21"/>
        </w:rPr>
        <w:t>4.3. Audit results are an input to the management review (Clause 9.3.2(c)).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RECORDS</w:t>
      </w:r>
    </w:p>
    <w:p>
      <w:pPr>
        <w:spacing w:after="80" w:before="0"/>
      </w:pPr>
      <w:r>
        <w:rPr>
          <w:b w:val="0"/>
          <w:i w:val="0"/>
          <w:sz w:val="21"/>
        </w:rPr>
        <w:t>5.1. Audit records (plans, working papers, reports, corrective actions)</w:t>
      </w:r>
    </w:p>
    <w:p>
      <w:pPr>
        <w:spacing w:after="80" w:before="0"/>
      </w:pPr>
      <w:r>
        <w:rPr>
          <w:b w:val="0"/>
          <w:i w:val="0"/>
          <w:sz w:val="21"/>
        </w:rPr>
        <w:t xml:space="preserve">are retained for </w:t>
      </w:r>
      <w:r>
        <w:rPr>
          <w:b w:val="0"/>
          <w:i w:val="0"/>
          <w:sz w:val="21"/>
        </w:rPr>
        <w:t>[3]</w:t>
      </w:r>
      <w:r>
        <w:rPr>
          <w:b w:val="0"/>
          <w:i w:val="0"/>
          <w:sz w:val="21"/>
        </w:rPr>
        <w:t xml:space="preserve"> years in accordance with the Retention Policy.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Audit Manager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Management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