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120"/>
        <w:jc w:val="center"/>
      </w:pPr>
      <w:r>
        <w:rPr>
          <w:rFonts w:ascii="Georgia" w:hAnsi="Georgia"/>
          <w:b/>
          <w:color w:val="1F3A5F"/>
          <w:sz w:val="40"/>
        </w:rPr>
        <w:t>RISK ASSESSMENT METHODOLOGY (RAM)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8C4D8"/>
          <w:left w:val="single" w:sz="4" w:space="0" w:color="B8C4D8"/>
          <w:bottom w:val="single" w:sz="4" w:space="0" w:color="B8C4D8"/>
          <w:right w:val="single" w:sz="4" w:space="0" w:color="B8C4D8"/>
          <w:insideH w:val="single" w:sz="4" w:space="0" w:color="B8C4D8"/>
          <w:insideV w:val="single" w:sz="4" w:space="0" w:color="B8C4D8"/>
        </w:tblBorders>
      </w:tblPr>
      <w:tblGrid>
        <w:gridCol w:w="4802"/>
        <w:gridCol w:w="4802"/>
      </w:tblGrid>
      <w:tr>
        <w:tc>
          <w:tcPr>
            <w:tcW w:type="dxa" w:w="2448"/>
            <w:shd w:val="clear" w:color="auto" w:fill="1F3A5F"/>
          </w:tcPr>
          <w:p>
            <w:r>
              <w:rPr>
                <w:b/>
                <w:color w:val="FFFFFF"/>
                <w:sz w:val="20"/>
              </w:rPr>
              <w:t>Field</w:t>
            </w:r>
          </w:p>
        </w:tc>
        <w:tc>
          <w:tcPr>
            <w:tcW w:type="dxa" w:w="6912"/>
            <w:shd w:val="clear" w:color="auto" w:fill="1F3A5F"/>
          </w:tcPr>
          <w:p>
            <w:r>
              <w:rPr>
                <w:b/>
                <w:color w:val="FFFFFF"/>
                <w:sz w:val="20"/>
              </w:rPr>
              <w:t>Details</w:t>
            </w:r>
          </w:p>
        </w:tc>
      </w:tr>
      <w:tr>
        <w:tc>
          <w:tcPr>
            <w:tcW w:type="dxa" w:w="2448"/>
          </w:tcPr>
          <w:p>
            <w:r>
              <w:rPr>
                <w:b/>
                <w:sz w:val="20"/>
              </w:rPr>
              <w:t>Document ID</w:t>
            </w:r>
          </w:p>
        </w:tc>
        <w:tc>
          <w:tcPr>
            <w:tcW w:type="dxa" w:w="6912"/>
          </w:tcPr>
          <w:p>
            <w:r>
              <w:rPr>
                <w:b w:val="0"/>
                <w:i w:val="0"/>
              </w:rPr>
              <w:t>[ORG]</w:t>
            </w:r>
            <w:r>
              <w:rPr>
                <w:b w:val="0"/>
                <w:i w:val="0"/>
              </w:rPr>
              <w:t>-RAM-001</w:t>
            </w:r>
          </w:p>
        </w:tc>
      </w:tr>
      <w:tr>
        <w:tc>
          <w:tcPr>
            <w:tcW w:type="dxa" w:w="2448"/>
            <w:shd w:val="clear" w:color="auto" w:fill="EAF0F8"/>
          </w:tcPr>
          <w:p>
            <w:r>
              <w:rPr>
                <w:b/>
                <w:sz w:val="20"/>
              </w:rPr>
              <w:t>Version</w:t>
            </w:r>
          </w:p>
        </w:tc>
        <w:tc>
          <w:tcPr>
            <w:tcW w:type="dxa" w:w="6912"/>
            <w:shd w:val="clear" w:color="auto" w:fill="EAF0F8"/>
          </w:tcPr>
          <w:p>
            <w:r>
              <w:rPr>
                <w:b w:val="0"/>
                <w:i w:val="0"/>
              </w:rPr>
              <w:t>1.0</w:t>
            </w:r>
          </w:p>
        </w:tc>
      </w:tr>
      <w:tr>
        <w:tc>
          <w:tcPr>
            <w:tcW w:type="dxa" w:w="2448"/>
          </w:tcPr>
          <w:p>
            <w:r>
              <w:rPr>
                <w:b/>
                <w:sz w:val="20"/>
              </w:rPr>
              <w:t>Owner</w:t>
            </w:r>
          </w:p>
        </w:tc>
        <w:tc>
          <w:tcPr>
            <w:tcW w:type="dxa" w:w="6912"/>
          </w:tcPr>
          <w:p>
            <w:r>
              <w:rPr>
                <w:b w:val="0"/>
                <w:i w:val="0"/>
              </w:rPr>
              <w:t>CISO / Risk Manager</w:t>
            </w:r>
          </w:p>
        </w:tc>
      </w:tr>
      <w:tr>
        <w:tc>
          <w:tcPr>
            <w:tcW w:type="dxa" w:w="2448"/>
            <w:shd w:val="clear" w:color="auto" w:fill="EAF0F8"/>
          </w:tcPr>
          <w:p>
            <w:r>
              <w:rPr>
                <w:b/>
                <w:sz w:val="20"/>
              </w:rPr>
              <w:t>Approved By</w:t>
            </w:r>
          </w:p>
        </w:tc>
        <w:tc>
          <w:tcPr>
            <w:tcW w:type="dxa" w:w="6912"/>
            <w:shd w:val="clear" w:color="auto" w:fill="EAF0F8"/>
          </w:tcPr>
          <w:p>
            <w:r>
              <w:rPr>
                <w:b w:val="0"/>
                <w:i w:val="0"/>
              </w:rPr>
              <w:t>ISSC</w:t>
            </w:r>
          </w:p>
        </w:tc>
      </w:tr>
      <w:tr>
        <w:tc>
          <w:tcPr>
            <w:tcW w:type="dxa" w:w="2448"/>
          </w:tcPr>
          <w:p>
            <w:r>
              <w:rPr>
                <w:b/>
                <w:sz w:val="20"/>
              </w:rPr>
              <w:t>Effective Date</w:t>
            </w:r>
          </w:p>
        </w:tc>
        <w:tc>
          <w:tcPr>
            <w:tcW w:type="dxa" w:w="6912"/>
          </w:tcPr>
          <w:p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</w:tr>
      <w:tr>
        <w:tc>
          <w:tcPr>
            <w:tcW w:type="dxa" w:w="2448"/>
            <w:shd w:val="clear" w:color="auto" w:fill="EAF0F8"/>
          </w:tcPr>
          <w:p>
            <w:r>
              <w:rPr>
                <w:b/>
                <w:sz w:val="20"/>
              </w:rPr>
              <w:t>Review Cycle</w:t>
            </w:r>
          </w:p>
        </w:tc>
        <w:tc>
          <w:tcPr>
            <w:tcW w:type="dxa" w:w="6912"/>
            <w:shd w:val="clear" w:color="auto" w:fill="EAF0F8"/>
          </w:tcPr>
          <w:p>
            <w:r>
              <w:rPr>
                <w:b w:val="0"/>
                <w:i w:val="0"/>
              </w:rPr>
              <w:t>Annual</w:t>
            </w:r>
          </w:p>
        </w:tc>
      </w:tr>
      <w:tr>
        <w:tc>
          <w:tcPr>
            <w:tcW w:type="dxa" w:w="2448"/>
          </w:tcPr>
          <w:p>
            <w:r>
              <w:rPr>
                <w:b/>
                <w:sz w:val="20"/>
              </w:rPr>
              <w:t>Related</w:t>
            </w:r>
          </w:p>
        </w:tc>
        <w:tc>
          <w:tcPr>
            <w:tcW w:type="dxa" w:w="6912"/>
          </w:tcPr>
          <w:p>
            <w:r>
              <w:rPr>
                <w:b w:val="0"/>
                <w:i w:val="0"/>
              </w:rPr>
              <w:t>Risk Register, Risk Treatment Plan, SoA</w:t>
            </w:r>
          </w:p>
        </w:tc>
      </w:tr>
    </w:tbl>
    <w:p>
      <w:pPr>
        <w:spacing w:after="120"/>
        <w:ind w:left="360"/>
      </w:pPr>
      <w:r>
        <w:rPr>
          <w:b/>
          <w:i/>
        </w:rPr>
        <w:t>Purpose: Defines how the Organization identifies, analyzes, and</w:t>
      </w:r>
    </w:p>
    <w:p>
      <w:pPr>
        <w:spacing w:after="120"/>
        <w:ind w:left="360"/>
      </w:pPr>
      <w:r>
        <w:rPr>
          <w:b w:val="0"/>
          <w:i/>
        </w:rPr>
        <w:t>evaluates information security risk consistently. ISO 27001:2022 Clause</w:t>
      </w:r>
    </w:p>
    <w:p>
      <w:pPr>
        <w:spacing w:after="120"/>
        <w:ind w:left="360"/>
      </w:pPr>
      <w:r>
        <w:rPr>
          <w:b w:val="0"/>
          <w:i/>
        </w:rPr>
        <w:t>6.1.2 requires defined risk criteria and a repeatable process. This is</w:t>
      </w:r>
    </w:p>
    <w:p>
      <w:pPr>
        <w:spacing w:after="120"/>
        <w:ind w:left="360"/>
      </w:pPr>
      <w:r>
        <w:rPr>
          <w:b w:val="0"/>
          <w:i/>
        </w:rPr>
        <w:t>the document that makes risk assessment defensible to auditors.</w:t>
      </w:r>
    </w:p>
    <w:p>
      <w:pPr>
        <w:spacing w:before="160" w:after="120"/>
      </w:pPr>
      <w:r>
        <w:rPr>
          <w:rFonts w:ascii="Georgia" w:hAnsi="Georgia"/>
          <w:b/>
          <w:color w:val="1F3A5F"/>
          <w:sz w:val="28"/>
        </w:rPr>
        <w:t>1. RISK IDENTIFICATION</w:t>
      </w:r>
    </w:p>
    <w:p>
      <w:pPr>
        <w:spacing w:after="80" w:before="0"/>
      </w:pPr>
      <w:r>
        <w:rPr>
          <w:b w:val="0"/>
          <w:i w:val="0"/>
          <w:sz w:val="21"/>
        </w:rPr>
        <w:t>1.1. Risk identification is performed using an **asset-based approach**</w:t>
      </w:r>
    </w:p>
    <w:p>
      <w:pPr>
        <w:spacing w:after="80" w:before="0"/>
      </w:pPr>
      <w:r>
        <w:rPr>
          <w:b w:val="0"/>
          <w:i w:val="0"/>
          <w:sz w:val="21"/>
        </w:rPr>
        <w:t>(book Section 2.2):</w:t>
      </w:r>
    </w:p>
    <w:p>
      <w:pPr>
        <w:spacing w:after="40"/>
        <w:ind w:left="432"/>
      </w:pPr>
      <w:r>
        <w:rPr>
          <w:b w:val="0"/>
          <w:i w:val="0"/>
        </w:rPr>
        <w:t>**Step 1 — Asset Inventory:** identify assets (information, systems,</w:t>
      </w:r>
    </w:p>
    <w:p>
      <w:pPr>
        <w:spacing w:after="80" w:before="0"/>
      </w:pPr>
      <w:r>
        <w:rPr>
          <w:b w:val="0"/>
          <w:i w:val="0"/>
          <w:sz w:val="21"/>
        </w:rPr>
        <w:t>processes, people) and their owners (Control A.5.9).</w:t>
      </w:r>
    </w:p>
    <w:p>
      <w:pPr>
        <w:spacing w:after="40"/>
        <w:ind w:left="432"/>
      </w:pPr>
      <w:r>
        <w:rPr>
          <w:b w:val="0"/>
          <w:i w:val="0"/>
        </w:rPr>
        <w:t>**Step 2 — Asset Classification:** classify each asset by criticality.</w:t>
      </w:r>
    </w:p>
    <w:p>
      <w:pPr>
        <w:spacing w:after="40"/>
        <w:ind w:left="432"/>
      </w:pPr>
      <w:r>
        <w:rPr>
          <w:b w:val="0"/>
          <w:i w:val="0"/>
        </w:rPr>
        <w:t>**Step 3 — Threat Modeling:** identify threats to each asset (external,</w:t>
      </w:r>
    </w:p>
    <w:p>
      <w:pPr>
        <w:spacing w:after="80" w:before="0"/>
      </w:pPr>
      <w:r>
        <w:rPr>
          <w:b w:val="0"/>
          <w:i w:val="0"/>
          <w:sz w:val="21"/>
        </w:rPr>
        <w:t>internal, accidental, environmental).</w:t>
      </w:r>
    </w:p>
    <w:p>
      <w:pPr>
        <w:spacing w:after="40"/>
        <w:ind w:left="432"/>
      </w:pPr>
      <w:r>
        <w:rPr>
          <w:b w:val="0"/>
          <w:i w:val="0"/>
        </w:rPr>
        <w:t>**Step 4 — Vulnerability Identification:** identify weaknesses that</w:t>
      </w:r>
    </w:p>
    <w:p>
      <w:pPr>
        <w:spacing w:after="80" w:before="0"/>
      </w:pPr>
      <w:r>
        <w:rPr>
          <w:b w:val="0"/>
          <w:i w:val="0"/>
          <w:sz w:val="21"/>
        </w:rPr>
        <w:t>threats could exploit.</w:t>
      </w:r>
    </w:p>
    <w:p>
      <w:pPr>
        <w:spacing w:after="80" w:before="0"/>
      </w:pPr>
      <w:r>
        <w:rPr>
          <w:b w:val="0"/>
          <w:i w:val="0"/>
          <w:sz w:val="21"/>
        </w:rPr>
        <w:t>1.2. Identification methods include: interviews with asset owners, automated</w:t>
      </w:r>
    </w:p>
    <w:p>
      <w:pPr>
        <w:spacing w:after="80" w:before="0"/>
      </w:pPr>
      <w:r>
        <w:rPr>
          <w:b w:val="0"/>
          <w:i w:val="0"/>
          <w:sz w:val="21"/>
        </w:rPr>
        <w:t>discovery tools, review of network diagrams and inventories, incident</w:t>
      </w:r>
    </w:p>
    <w:p>
      <w:pPr>
        <w:spacing w:after="80" w:before="0"/>
      </w:pPr>
      <w:r>
        <w:rPr>
          <w:b w:val="0"/>
          <w:i w:val="0"/>
          <w:sz w:val="21"/>
        </w:rPr>
        <w:t>history, and threat intelligence.</w:t>
      </w:r>
    </w:p>
    <w:p>
      <w:pPr>
        <w:spacing w:before="160" w:after="120"/>
      </w:pPr>
      <w:r>
        <w:rPr>
          <w:rFonts w:ascii="Georgia" w:hAnsi="Georgia"/>
          <w:b/>
          <w:color w:val="1F3A5F"/>
          <w:sz w:val="28"/>
        </w:rPr>
        <w:t>2. RISK ANALYSIS</w:t>
      </w:r>
    </w:p>
    <w:p>
      <w:pPr>
        <w:spacing w:after="80" w:before="0"/>
      </w:pPr>
      <w:r>
        <w:rPr>
          <w:b w:val="0"/>
          <w:i w:val="0"/>
          <w:sz w:val="21"/>
        </w:rPr>
        <w:t>2.1. Each risk is scored using the formula:</w:t>
      </w:r>
    </w:p>
    <w:p>
      <w:pPr>
        <w:spacing w:after="80" w:before="0"/>
      </w:pPr>
      <w:r>
        <w:rPr>
          <w:b w:val="0"/>
          <w:i w:val="0"/>
          <w:sz w:val="21"/>
        </w:rPr>
        <w:t>```</w:t>
      </w:r>
    </w:p>
    <w:p>
      <w:pPr>
        <w:spacing w:after="80" w:before="0"/>
      </w:pPr>
      <w:r>
        <w:rPr>
          <w:b w:val="0"/>
          <w:i w:val="0"/>
          <w:sz w:val="21"/>
        </w:rPr>
        <w:t>Risk Score = Likelihood x Impact</w:t>
      </w:r>
    </w:p>
    <w:p>
      <w:pPr>
        <w:spacing w:after="80" w:before="0"/>
      </w:pPr>
      <w:r>
        <w:rPr>
          <w:b w:val="0"/>
          <w:i w:val="0"/>
          <w:sz w:val="21"/>
        </w:rPr>
        <w:t>```</w:t>
      </w:r>
    </w:p>
    <w:p>
      <w:pPr>
        <w:spacing w:after="80" w:before="0"/>
      </w:pPr>
      <w:r>
        <w:rPr>
          <w:b w:val="0"/>
          <w:i w:val="0"/>
          <w:sz w:val="21"/>
        </w:rPr>
        <w:t>2.2. **Likelihood scale (1–5):**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8C4D8"/>
          <w:left w:val="single" w:sz="4" w:space="0" w:color="B8C4D8"/>
          <w:bottom w:val="single" w:sz="4" w:space="0" w:color="B8C4D8"/>
          <w:right w:val="single" w:sz="4" w:space="0" w:color="B8C4D8"/>
          <w:insideH w:val="single" w:sz="4" w:space="0" w:color="B8C4D8"/>
          <w:insideV w:val="single" w:sz="4" w:space="0" w:color="B8C4D8"/>
        </w:tblBorders>
      </w:tblPr>
      <w:tblGrid>
        <w:gridCol w:w="3202"/>
        <w:gridCol w:w="3202"/>
        <w:gridCol w:w="3202"/>
      </w:tblGrid>
      <w:tr>
        <w:tc>
          <w:tcPr>
            <w:tcW w:type="dxa" w:w="3202"/>
            <w:shd w:val="clear" w:color="auto" w:fill="1F3A5F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i w:val="0"/>
                <w:color w:val="FFFFFF"/>
                <w:sz w:val="19"/>
              </w:rPr>
              <w:t>Score</w:t>
            </w:r>
          </w:p>
        </w:tc>
        <w:tc>
          <w:tcPr>
            <w:tcW w:type="dxa" w:w="3202"/>
            <w:shd w:val="clear" w:color="auto" w:fill="1F3A5F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i w:val="0"/>
                <w:color w:val="FFFFFF"/>
                <w:sz w:val="19"/>
              </w:rPr>
              <w:t>Level</w:t>
            </w:r>
          </w:p>
        </w:tc>
        <w:tc>
          <w:tcPr>
            <w:tcW w:type="dxa" w:w="3202"/>
            <w:shd w:val="clear" w:color="auto" w:fill="1F3A5F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i w:val="0"/>
                <w:color w:val="FFFFFF"/>
                <w:sz w:val="19"/>
              </w:rPr>
              <w:t>Definition</w:t>
            </w:r>
          </w:p>
        </w:tc>
      </w:tr>
      <w:tr>
        <w:tc>
          <w:tcPr>
            <w:tcW w:type="dxa" w:w="3202"/>
          </w:tcPr>
          <w:p>
            <w:r/>
            <w:r>
              <w:rPr>
                <w:b w:val="0"/>
                <w:i w:val="0"/>
              </w:rPr>
              <w:t>5</w:t>
            </w:r>
          </w:p>
        </w:tc>
        <w:tc>
          <w:tcPr>
            <w:tcW w:type="dxa" w:w="3202"/>
          </w:tcPr>
          <w:p>
            <w:r/>
            <w:r>
              <w:rPr>
                <w:b w:val="0"/>
                <w:i w:val="0"/>
              </w:rPr>
              <w:t>Very High</w:t>
            </w:r>
          </w:p>
        </w:tc>
        <w:tc>
          <w:tcPr>
            <w:tcW w:type="dxa" w:w="3202"/>
          </w:tcPr>
          <w:p>
            <w:r/>
            <w:r>
              <w:rPr>
                <w:b w:val="0"/>
                <w:i w:val="0"/>
              </w:rPr>
              <w:t>Expected within the next 6 months; active exploitation observed</w:t>
            </w:r>
          </w:p>
        </w:tc>
      </w:tr>
      <w:tr>
        <w:tc>
          <w:tcPr>
            <w:tcW w:type="dxa" w:w="3202"/>
            <w:shd w:val="clear" w:color="auto" w:fill="EAF0F8"/>
          </w:tcPr>
          <w:p>
            <w:r/>
            <w:r>
              <w:rPr>
                <w:b w:val="0"/>
                <w:i w:val="0"/>
              </w:rPr>
              <w:t>4</w:t>
            </w:r>
          </w:p>
        </w:tc>
        <w:tc>
          <w:tcPr>
            <w:tcW w:type="dxa" w:w="3202"/>
            <w:shd w:val="clear" w:color="auto" w:fill="EAF0F8"/>
          </w:tcPr>
          <w:p>
            <w:r/>
            <w:r>
              <w:rPr>
                <w:b w:val="0"/>
                <w:i w:val="0"/>
              </w:rPr>
              <w:t>High</w:t>
            </w:r>
          </w:p>
        </w:tc>
        <w:tc>
          <w:tcPr>
            <w:tcW w:type="dxa" w:w="3202"/>
            <w:shd w:val="clear" w:color="auto" w:fill="EAF0F8"/>
          </w:tcPr>
          <w:p>
            <w:r/>
            <w:r>
              <w:rPr>
                <w:b w:val="0"/>
                <w:i w:val="0"/>
              </w:rPr>
              <w:t>Likely within 12 months</w:t>
            </w:r>
          </w:p>
        </w:tc>
      </w:tr>
      <w:tr>
        <w:tc>
          <w:tcPr>
            <w:tcW w:type="dxa" w:w="3202"/>
          </w:tcPr>
          <w:p>
            <w:r/>
            <w:r>
              <w:rPr>
                <w:b w:val="0"/>
                <w:i w:val="0"/>
              </w:rPr>
              <w:t>3</w:t>
            </w:r>
          </w:p>
        </w:tc>
        <w:tc>
          <w:tcPr>
            <w:tcW w:type="dxa" w:w="3202"/>
          </w:tcPr>
          <w:p>
            <w:r/>
            <w:r>
              <w:rPr>
                <w:b w:val="0"/>
                <w:i w:val="0"/>
              </w:rPr>
              <w:t>Medium</w:t>
            </w:r>
          </w:p>
        </w:tc>
        <w:tc>
          <w:tcPr>
            <w:tcW w:type="dxa" w:w="3202"/>
          </w:tcPr>
          <w:p>
            <w:r/>
            <w:r>
              <w:rPr>
                <w:b w:val="0"/>
                <w:i w:val="0"/>
              </w:rPr>
              <w:t>Possible within 12–24 months</w:t>
            </w:r>
          </w:p>
        </w:tc>
      </w:tr>
      <w:tr>
        <w:tc>
          <w:tcPr>
            <w:tcW w:type="dxa" w:w="3202"/>
            <w:shd w:val="clear" w:color="auto" w:fill="EAF0F8"/>
          </w:tcPr>
          <w:p>
            <w:r/>
            <w:r>
              <w:rPr>
                <w:b w:val="0"/>
                <w:i w:val="0"/>
              </w:rPr>
              <w:t>2</w:t>
            </w:r>
          </w:p>
        </w:tc>
        <w:tc>
          <w:tcPr>
            <w:tcW w:type="dxa" w:w="3202"/>
            <w:shd w:val="clear" w:color="auto" w:fill="EAF0F8"/>
          </w:tcPr>
          <w:p>
            <w:r/>
            <w:r>
              <w:rPr>
                <w:b w:val="0"/>
                <w:i w:val="0"/>
              </w:rPr>
              <w:t>Low</w:t>
            </w:r>
          </w:p>
        </w:tc>
        <w:tc>
          <w:tcPr>
            <w:tcW w:type="dxa" w:w="3202"/>
            <w:shd w:val="clear" w:color="auto" w:fill="EAF0F8"/>
          </w:tcPr>
          <w:p>
            <w:r/>
            <w:r>
              <w:rPr>
                <w:b w:val="0"/>
                <w:i w:val="0"/>
              </w:rPr>
              <w:t>Unlikely within 24 months</w:t>
            </w:r>
          </w:p>
        </w:tc>
      </w:tr>
      <w:tr>
        <w:tc>
          <w:tcPr>
            <w:tcW w:type="dxa" w:w="3202"/>
          </w:tcPr>
          <w:p>
            <w:r/>
            <w:r>
              <w:rPr>
                <w:b w:val="0"/>
                <w:i w:val="0"/>
              </w:rPr>
              <w:t>1</w:t>
            </w:r>
          </w:p>
        </w:tc>
        <w:tc>
          <w:tcPr>
            <w:tcW w:type="dxa" w:w="3202"/>
          </w:tcPr>
          <w:p>
            <w:r/>
            <w:r>
              <w:rPr>
                <w:b w:val="0"/>
                <w:i w:val="0"/>
              </w:rPr>
              <w:t>Very Low</w:t>
            </w:r>
          </w:p>
        </w:tc>
        <w:tc>
          <w:tcPr>
            <w:tcW w:type="dxa" w:w="3202"/>
          </w:tcPr>
          <w:p>
            <w:r/>
            <w:r>
              <w:rPr>
                <w:b w:val="0"/>
                <w:i w:val="0"/>
              </w:rPr>
              <w:t>Rare; not observed in similar organizations</w:t>
            </w:r>
          </w:p>
        </w:tc>
      </w:tr>
    </w:tbl>
    <w:p>
      <w:pPr>
        <w:spacing w:after="40"/>
      </w:pPr>
    </w:p>
    <w:p>
      <w:pPr>
        <w:spacing w:after="80" w:before="0"/>
      </w:pPr>
      <w:r>
        <w:rPr>
          <w:b w:val="0"/>
          <w:i w:val="0"/>
          <w:sz w:val="21"/>
        </w:rPr>
        <w:t>2.3. **Impact scale (1–5):**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8C4D8"/>
          <w:left w:val="single" w:sz="4" w:space="0" w:color="B8C4D8"/>
          <w:bottom w:val="single" w:sz="4" w:space="0" w:color="B8C4D8"/>
          <w:right w:val="single" w:sz="4" w:space="0" w:color="B8C4D8"/>
          <w:insideH w:val="single" w:sz="4" w:space="0" w:color="B8C4D8"/>
          <w:insideV w:val="single" w:sz="4" w:space="0" w:color="B8C4D8"/>
        </w:tblBorders>
      </w:tblPr>
      <w:tblGrid>
        <w:gridCol w:w="3202"/>
        <w:gridCol w:w="3202"/>
        <w:gridCol w:w="3202"/>
      </w:tblGrid>
      <w:tr>
        <w:tc>
          <w:tcPr>
            <w:tcW w:type="dxa" w:w="3202"/>
            <w:shd w:val="clear" w:color="auto" w:fill="1F3A5F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i w:val="0"/>
                <w:color w:val="FFFFFF"/>
                <w:sz w:val="19"/>
              </w:rPr>
              <w:t>Score</w:t>
            </w:r>
          </w:p>
        </w:tc>
        <w:tc>
          <w:tcPr>
            <w:tcW w:type="dxa" w:w="3202"/>
            <w:shd w:val="clear" w:color="auto" w:fill="1F3A5F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i w:val="0"/>
                <w:color w:val="FFFFFF"/>
                <w:sz w:val="19"/>
              </w:rPr>
              <w:t>Level</w:t>
            </w:r>
          </w:p>
        </w:tc>
        <w:tc>
          <w:tcPr>
            <w:tcW w:type="dxa" w:w="3202"/>
            <w:shd w:val="clear" w:color="auto" w:fill="1F3A5F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i w:val="0"/>
                <w:color w:val="FFFFFF"/>
                <w:sz w:val="19"/>
              </w:rPr>
              <w:t>Definition</w:t>
            </w:r>
          </w:p>
        </w:tc>
      </w:tr>
      <w:tr>
        <w:tc>
          <w:tcPr>
            <w:tcW w:type="dxa" w:w="3202"/>
          </w:tcPr>
          <w:p>
            <w:r/>
            <w:r>
              <w:rPr>
                <w:b w:val="0"/>
                <w:i w:val="0"/>
              </w:rPr>
              <w:t>5</w:t>
            </w:r>
          </w:p>
        </w:tc>
        <w:tc>
          <w:tcPr>
            <w:tcW w:type="dxa" w:w="3202"/>
          </w:tcPr>
          <w:p>
            <w:r/>
            <w:r>
              <w:rPr>
                <w:b w:val="0"/>
                <w:i w:val="0"/>
              </w:rPr>
              <w:t>Critical</w:t>
            </w:r>
          </w:p>
        </w:tc>
        <w:tc>
          <w:tcPr>
            <w:tcW w:type="dxa" w:w="3202"/>
          </w:tcPr>
          <w:p>
            <w:r/>
            <w:r>
              <w:rPr>
                <w:b w:val="0"/>
                <w:i w:val="0"/>
              </w:rPr>
              <w:t>Severe financial loss, regulatory action, major brand damage</w:t>
            </w:r>
          </w:p>
        </w:tc>
      </w:tr>
      <w:tr>
        <w:tc>
          <w:tcPr>
            <w:tcW w:type="dxa" w:w="3202"/>
            <w:shd w:val="clear" w:color="auto" w:fill="EAF0F8"/>
          </w:tcPr>
          <w:p>
            <w:r/>
            <w:r>
              <w:rPr>
                <w:b w:val="0"/>
                <w:i w:val="0"/>
              </w:rPr>
              <w:t>4</w:t>
            </w:r>
          </w:p>
        </w:tc>
        <w:tc>
          <w:tcPr>
            <w:tcW w:type="dxa" w:w="3202"/>
            <w:shd w:val="clear" w:color="auto" w:fill="EAF0F8"/>
          </w:tcPr>
          <w:p>
            <w:r/>
            <w:r>
              <w:rPr>
                <w:b w:val="0"/>
                <w:i w:val="0"/>
              </w:rPr>
              <w:t>High</w:t>
            </w:r>
          </w:p>
        </w:tc>
        <w:tc>
          <w:tcPr>
            <w:tcW w:type="dxa" w:w="3202"/>
            <w:shd w:val="clear" w:color="auto" w:fill="EAF0F8"/>
          </w:tcPr>
          <w:p>
            <w:r/>
            <w:r>
              <w:rPr>
                <w:b w:val="0"/>
                <w:i w:val="0"/>
              </w:rPr>
              <w:t>Significant financial/operational impact</w:t>
            </w:r>
          </w:p>
        </w:tc>
      </w:tr>
      <w:tr>
        <w:tc>
          <w:tcPr>
            <w:tcW w:type="dxa" w:w="3202"/>
          </w:tcPr>
          <w:p>
            <w:r/>
            <w:r>
              <w:rPr>
                <w:b w:val="0"/>
                <w:i w:val="0"/>
              </w:rPr>
              <w:t>3</w:t>
            </w:r>
          </w:p>
        </w:tc>
        <w:tc>
          <w:tcPr>
            <w:tcW w:type="dxa" w:w="3202"/>
          </w:tcPr>
          <w:p>
            <w:r/>
            <w:r>
              <w:rPr>
                <w:b w:val="0"/>
                <w:i w:val="0"/>
              </w:rPr>
              <w:t>Medium</w:t>
            </w:r>
          </w:p>
        </w:tc>
        <w:tc>
          <w:tcPr>
            <w:tcW w:type="dxa" w:w="3202"/>
          </w:tcPr>
          <w:p>
            <w:r/>
            <w:r>
              <w:rPr>
                <w:b w:val="0"/>
                <w:i w:val="0"/>
              </w:rPr>
              <w:t>Moderate impact, containable with effort</w:t>
            </w:r>
          </w:p>
        </w:tc>
      </w:tr>
      <w:tr>
        <w:tc>
          <w:tcPr>
            <w:tcW w:type="dxa" w:w="3202"/>
            <w:shd w:val="clear" w:color="auto" w:fill="EAF0F8"/>
          </w:tcPr>
          <w:p>
            <w:r/>
            <w:r>
              <w:rPr>
                <w:b w:val="0"/>
                <w:i w:val="0"/>
              </w:rPr>
              <w:t>2</w:t>
            </w:r>
          </w:p>
        </w:tc>
        <w:tc>
          <w:tcPr>
            <w:tcW w:type="dxa" w:w="3202"/>
            <w:shd w:val="clear" w:color="auto" w:fill="EAF0F8"/>
          </w:tcPr>
          <w:p>
            <w:r/>
            <w:r>
              <w:rPr>
                <w:b w:val="0"/>
                <w:i w:val="0"/>
              </w:rPr>
              <w:t>Low</w:t>
            </w:r>
          </w:p>
        </w:tc>
        <w:tc>
          <w:tcPr>
            <w:tcW w:type="dxa" w:w="3202"/>
            <w:shd w:val="clear" w:color="auto" w:fill="EAF0F8"/>
          </w:tcPr>
          <w:p>
            <w:r/>
            <w:r>
              <w:rPr>
                <w:b w:val="0"/>
                <w:i w:val="0"/>
              </w:rPr>
              <w:t>Minor impact, readily contained</w:t>
            </w:r>
          </w:p>
        </w:tc>
      </w:tr>
      <w:tr>
        <w:tc>
          <w:tcPr>
            <w:tcW w:type="dxa" w:w="3202"/>
          </w:tcPr>
          <w:p>
            <w:r/>
            <w:r>
              <w:rPr>
                <w:b w:val="0"/>
                <w:i w:val="0"/>
              </w:rPr>
              <w:t>1</w:t>
            </w:r>
          </w:p>
        </w:tc>
        <w:tc>
          <w:tcPr>
            <w:tcW w:type="dxa" w:w="3202"/>
          </w:tcPr>
          <w:p>
            <w:r/>
            <w:r>
              <w:rPr>
                <w:b w:val="0"/>
                <w:i w:val="0"/>
              </w:rPr>
              <w:t>Very Low</w:t>
            </w:r>
          </w:p>
        </w:tc>
        <w:tc>
          <w:tcPr>
            <w:tcW w:type="dxa" w:w="3202"/>
          </w:tcPr>
          <w:p>
            <w:r/>
            <w:r>
              <w:rPr>
                <w:b w:val="0"/>
                <w:i w:val="0"/>
              </w:rPr>
              <w:t>Negligible impact</w:t>
            </w:r>
          </w:p>
        </w:tc>
      </w:tr>
    </w:tbl>
    <w:p>
      <w:pPr>
        <w:spacing w:after="40"/>
      </w:pPr>
    </w:p>
    <w:p>
      <w:pPr>
        <w:spacing w:after="80" w:before="0"/>
      </w:pPr>
      <w:r>
        <w:rPr>
          <w:b w:val="0"/>
          <w:i w:val="0"/>
          <w:sz w:val="21"/>
        </w:rPr>
        <w:t>2.4. Impact is assessed across five dimensions, taking the highest:</w:t>
      </w:r>
    </w:p>
    <w:p>
      <w:pPr>
        <w:spacing w:after="40"/>
        <w:ind w:left="432"/>
      </w:pPr>
      <w:r>
        <w:rPr>
          <w:b w:val="0"/>
          <w:i w:val="0"/>
        </w:rPr>
        <w:t>Confidentiality (data exposure)</w:t>
      </w:r>
    </w:p>
    <w:p>
      <w:pPr>
        <w:spacing w:after="40"/>
        <w:ind w:left="432"/>
      </w:pPr>
      <w:r>
        <w:rPr>
          <w:b w:val="0"/>
          <w:i w:val="0"/>
        </w:rPr>
        <w:t>Integrity (data corruption)</w:t>
      </w:r>
    </w:p>
    <w:p>
      <w:pPr>
        <w:spacing w:after="40"/>
        <w:ind w:left="432"/>
      </w:pPr>
      <w:r>
        <w:rPr>
          <w:b w:val="0"/>
          <w:i w:val="0"/>
        </w:rPr>
        <w:t>Availability (service disruption)</w:t>
      </w:r>
    </w:p>
    <w:p>
      <w:pPr>
        <w:spacing w:after="40"/>
        <w:ind w:left="432"/>
      </w:pPr>
      <w:r>
        <w:rPr>
          <w:b w:val="0"/>
          <w:i w:val="0"/>
        </w:rPr>
        <w:t>Financial/Legal/Regulatory</w:t>
      </w:r>
    </w:p>
    <w:p>
      <w:pPr>
        <w:spacing w:after="40"/>
        <w:ind w:left="432"/>
      </w:pPr>
      <w:r>
        <w:rPr>
          <w:b w:val="0"/>
          <w:i w:val="0"/>
        </w:rPr>
        <w:t>Reputation/Customer</w:t>
      </w:r>
    </w:p>
    <w:p>
      <w:pPr>
        <w:spacing w:before="160" w:after="120"/>
      </w:pPr>
      <w:r>
        <w:rPr>
          <w:rFonts w:ascii="Georgia" w:hAnsi="Georgia"/>
          <w:b/>
          <w:color w:val="1F3A5F"/>
          <w:sz w:val="28"/>
        </w:rPr>
        <w:t>3. RISK EVALUATION</w:t>
      </w:r>
    </w:p>
    <w:p>
      <w:pPr>
        <w:spacing w:after="80" w:before="0"/>
      </w:pPr>
      <w:r>
        <w:rPr>
          <w:b w:val="0"/>
          <w:i w:val="0"/>
          <w:sz w:val="21"/>
        </w:rPr>
        <w:t>3.1. Each risk is evaluated against the Organization's risk evaluation</w:t>
      </w:r>
    </w:p>
    <w:p>
      <w:pPr>
        <w:spacing w:after="80" w:before="0"/>
      </w:pPr>
      <w:r>
        <w:rPr>
          <w:b w:val="0"/>
          <w:i w:val="0"/>
          <w:sz w:val="21"/>
        </w:rPr>
        <w:t>criteria (book Section 2.3):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8C4D8"/>
          <w:left w:val="single" w:sz="4" w:space="0" w:color="B8C4D8"/>
          <w:bottom w:val="single" w:sz="4" w:space="0" w:color="B8C4D8"/>
          <w:right w:val="single" w:sz="4" w:space="0" w:color="B8C4D8"/>
          <w:insideH w:val="single" w:sz="4" w:space="0" w:color="B8C4D8"/>
          <w:insideV w:val="single" w:sz="4" w:space="0" w:color="B8C4D8"/>
        </w:tblBorders>
      </w:tblPr>
      <w:tblGrid>
        <w:gridCol w:w="3202"/>
        <w:gridCol w:w="3202"/>
        <w:gridCol w:w="3202"/>
      </w:tblGrid>
      <w:tr>
        <w:tc>
          <w:tcPr>
            <w:tcW w:type="dxa" w:w="3202"/>
            <w:shd w:val="clear" w:color="auto" w:fill="1F3A5F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i w:val="0"/>
                <w:color w:val="FFFFFF"/>
                <w:sz w:val="19"/>
              </w:rPr>
              <w:t>Risk Score</w:t>
            </w:r>
          </w:p>
        </w:tc>
        <w:tc>
          <w:tcPr>
            <w:tcW w:type="dxa" w:w="3202"/>
            <w:shd w:val="clear" w:color="auto" w:fill="1F3A5F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i w:val="0"/>
                <w:color w:val="FFFFFF"/>
                <w:sz w:val="19"/>
              </w:rPr>
              <w:t>Verdict</w:t>
            </w:r>
          </w:p>
        </w:tc>
        <w:tc>
          <w:tcPr>
            <w:tcW w:type="dxa" w:w="3202"/>
            <w:shd w:val="clear" w:color="auto" w:fill="1F3A5F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i w:val="0"/>
                <w:color w:val="FFFFFF"/>
                <w:sz w:val="19"/>
              </w:rPr>
              <w:t>Action</w:t>
            </w:r>
          </w:p>
        </w:tc>
      </w:tr>
      <w:tr>
        <w:tc>
          <w:tcPr>
            <w:tcW w:type="dxa" w:w="3202"/>
          </w:tcPr>
          <w:p>
            <w:r/>
            <w:r>
              <w:rPr>
                <w:b w:val="0"/>
                <w:i w:val="0"/>
              </w:rPr>
              <w:t>1–4</w:t>
            </w:r>
          </w:p>
        </w:tc>
        <w:tc>
          <w:tcPr>
            <w:tcW w:type="dxa" w:w="3202"/>
          </w:tcPr>
          <w:p>
            <w:r/>
            <w:r>
              <w:rPr>
                <w:b w:val="0"/>
                <w:i w:val="0"/>
              </w:rPr>
              <w:t>Acceptable</w:t>
            </w:r>
          </w:p>
        </w:tc>
        <w:tc>
          <w:tcPr>
            <w:tcW w:type="dxa" w:w="3202"/>
          </w:tcPr>
          <w:p>
            <w:r/>
            <w:r>
              <w:rPr>
                <w:b w:val="0"/>
                <w:i w:val="0"/>
              </w:rPr>
              <w:t>Monitor; no treatment required</w:t>
            </w:r>
          </w:p>
        </w:tc>
      </w:tr>
      <w:tr>
        <w:tc>
          <w:tcPr>
            <w:tcW w:type="dxa" w:w="3202"/>
            <w:shd w:val="clear" w:color="auto" w:fill="EAF0F8"/>
          </w:tcPr>
          <w:p>
            <w:r/>
            <w:r>
              <w:rPr>
                <w:b w:val="0"/>
                <w:i w:val="0"/>
              </w:rPr>
              <w:t>5–9</w:t>
            </w:r>
          </w:p>
        </w:tc>
        <w:tc>
          <w:tcPr>
            <w:tcW w:type="dxa" w:w="3202"/>
            <w:shd w:val="clear" w:color="auto" w:fill="EAF0F8"/>
          </w:tcPr>
          <w:p>
            <w:r/>
            <w:r>
              <w:rPr>
                <w:b w:val="0"/>
                <w:i w:val="0"/>
              </w:rPr>
              <w:t>Tolerable</w:t>
            </w:r>
          </w:p>
        </w:tc>
        <w:tc>
          <w:tcPr>
            <w:tcW w:type="dxa" w:w="3202"/>
            <w:shd w:val="clear" w:color="auto" w:fill="EAF0F8"/>
          </w:tcPr>
          <w:p>
            <w:r/>
            <w:r>
              <w:rPr>
                <w:b w:val="0"/>
                <w:i w:val="0"/>
              </w:rPr>
              <w:t>Treatment justified; schedule action</w:t>
            </w:r>
          </w:p>
        </w:tc>
      </w:tr>
      <w:tr>
        <w:tc>
          <w:tcPr>
            <w:tcW w:type="dxa" w:w="3202"/>
          </w:tcPr>
          <w:p>
            <w:r/>
            <w:r>
              <w:rPr>
                <w:b w:val="0"/>
                <w:i w:val="0"/>
              </w:rPr>
              <w:t>10–15</w:t>
            </w:r>
          </w:p>
        </w:tc>
        <w:tc>
          <w:tcPr>
            <w:tcW w:type="dxa" w:w="3202"/>
          </w:tcPr>
          <w:p>
            <w:r/>
            <w:r>
              <w:rPr>
                <w:b w:val="0"/>
                <w:i w:val="0"/>
              </w:rPr>
              <w:t>Intolerable</w:t>
            </w:r>
          </w:p>
        </w:tc>
        <w:tc>
          <w:tcPr>
            <w:tcW w:type="dxa" w:w="3202"/>
          </w:tcPr>
          <w:p>
            <w:r/>
            <w:r>
              <w:rPr>
                <w:b w:val="0"/>
                <w:i w:val="0"/>
              </w:rPr>
              <w:t>Treatment mandatory; immediate action</w:t>
            </w:r>
          </w:p>
        </w:tc>
      </w:tr>
      <w:tr>
        <w:tc>
          <w:tcPr>
            <w:tcW w:type="dxa" w:w="3202"/>
            <w:shd w:val="clear" w:color="auto" w:fill="EAF0F8"/>
          </w:tcPr>
          <w:p>
            <w:r/>
            <w:r>
              <w:rPr>
                <w:b w:val="0"/>
                <w:i w:val="0"/>
              </w:rPr>
              <w:t>16–25</w:t>
            </w:r>
          </w:p>
        </w:tc>
        <w:tc>
          <w:tcPr>
            <w:tcW w:type="dxa" w:w="3202"/>
            <w:shd w:val="clear" w:color="auto" w:fill="EAF0F8"/>
          </w:tcPr>
          <w:p>
            <w:r/>
            <w:r>
              <w:rPr>
                <w:b w:val="0"/>
                <w:i w:val="0"/>
              </w:rPr>
              <w:t>Critical</w:t>
            </w:r>
          </w:p>
        </w:tc>
        <w:tc>
          <w:tcPr>
            <w:tcW w:type="dxa" w:w="3202"/>
            <w:shd w:val="clear" w:color="auto" w:fill="EAF0F8"/>
          </w:tcPr>
          <w:p>
            <w:r/>
            <w:r>
              <w:rPr>
                <w:b w:val="0"/>
                <w:i w:val="0"/>
              </w:rPr>
              <w:t>Immediate containment; escalate to ISSC/CEO</w:t>
            </w:r>
          </w:p>
        </w:tc>
      </w:tr>
    </w:tbl>
    <w:p>
      <w:pPr>
        <w:spacing w:after="40"/>
      </w:pPr>
    </w:p>
    <w:p>
      <w:pPr>
        <w:spacing w:after="80" w:before="0"/>
      </w:pPr>
      <w:r>
        <w:rPr>
          <w:b w:val="0"/>
          <w:i w:val="0"/>
          <w:sz w:val="21"/>
        </w:rPr>
        <w:t>3.2. Evaluation criteria are reviewed annually or when risk appetite changes.</w:t>
      </w:r>
    </w:p>
    <w:p>
      <w:pPr>
        <w:spacing w:before="160" w:after="120"/>
      </w:pPr>
      <w:r>
        <w:rPr>
          <w:rFonts w:ascii="Georgia" w:hAnsi="Georgia"/>
          <w:b/>
          <w:color w:val="1F3A5F"/>
          <w:sz w:val="28"/>
        </w:rPr>
        <w:t>4. RISK TREATMENT</w:t>
      </w:r>
    </w:p>
    <w:p>
      <w:pPr>
        <w:spacing w:after="80" w:before="0"/>
      </w:pPr>
      <w:r>
        <w:rPr>
          <w:b w:val="0"/>
          <w:i w:val="0"/>
          <w:sz w:val="21"/>
        </w:rPr>
        <w:t>4.1. Treatment options (Clause 6.1.3):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8C4D8"/>
          <w:left w:val="single" w:sz="4" w:space="0" w:color="B8C4D8"/>
          <w:bottom w:val="single" w:sz="4" w:space="0" w:color="B8C4D8"/>
          <w:right w:val="single" w:sz="4" w:space="0" w:color="B8C4D8"/>
          <w:insideH w:val="single" w:sz="4" w:space="0" w:color="B8C4D8"/>
          <w:insideV w:val="single" w:sz="4" w:space="0" w:color="B8C4D8"/>
        </w:tblBorders>
      </w:tblPr>
      <w:tblGrid>
        <w:gridCol w:w="3202"/>
        <w:gridCol w:w="3202"/>
        <w:gridCol w:w="3202"/>
      </w:tblGrid>
      <w:tr>
        <w:tc>
          <w:tcPr>
            <w:tcW w:type="dxa" w:w="3202"/>
            <w:shd w:val="clear" w:color="auto" w:fill="1F3A5F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i w:val="0"/>
                <w:color w:val="FFFFFF"/>
                <w:sz w:val="19"/>
              </w:rPr>
              <w:t>Option</w:t>
            </w:r>
          </w:p>
        </w:tc>
        <w:tc>
          <w:tcPr>
            <w:tcW w:type="dxa" w:w="3202"/>
            <w:shd w:val="clear" w:color="auto" w:fill="1F3A5F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i w:val="0"/>
                <w:color w:val="FFFFFF"/>
                <w:sz w:val="19"/>
              </w:rPr>
              <w:t>Definition</w:t>
            </w:r>
          </w:p>
        </w:tc>
        <w:tc>
          <w:tcPr>
            <w:tcW w:type="dxa" w:w="3202"/>
            <w:shd w:val="clear" w:color="auto" w:fill="1F3A5F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i w:val="0"/>
                <w:color w:val="FFFFFF"/>
                <w:sz w:val="19"/>
              </w:rPr>
              <w:t>Decision Factor</w:t>
            </w:r>
          </w:p>
        </w:tc>
      </w:tr>
      <w:tr>
        <w:tc>
          <w:tcPr>
            <w:tcW w:type="dxa" w:w="3202"/>
          </w:tcPr>
          <w:p>
            <w:r/>
            <w:r>
              <w:rPr>
                <w:b w:val="0"/>
                <w:i w:val="0"/>
              </w:rPr>
              <w:t>Mitigate</w:t>
            </w:r>
          </w:p>
        </w:tc>
        <w:tc>
          <w:tcPr>
            <w:tcW w:type="dxa" w:w="3202"/>
          </w:tcPr>
          <w:p>
            <w:r/>
            <w:r>
              <w:rPr>
                <w:b w:val="0"/>
                <w:i w:val="0"/>
              </w:rPr>
              <w:t>Implement controls to reduce likelihood/impact</w:t>
            </w:r>
          </w:p>
        </w:tc>
        <w:tc>
          <w:tcPr>
            <w:tcW w:type="dxa" w:w="3202"/>
          </w:tcPr>
          <w:p>
            <w:r/>
            <w:r>
              <w:rPr>
                <w:b w:val="0"/>
                <w:i w:val="0"/>
              </w:rPr>
              <w:t>Control cost justified by risk reduction</w:t>
            </w:r>
          </w:p>
        </w:tc>
      </w:tr>
      <w:tr>
        <w:tc>
          <w:tcPr>
            <w:tcW w:type="dxa" w:w="3202"/>
            <w:shd w:val="clear" w:color="auto" w:fill="EAF0F8"/>
          </w:tcPr>
          <w:p>
            <w:r/>
            <w:r>
              <w:rPr>
                <w:b w:val="0"/>
                <w:i w:val="0"/>
              </w:rPr>
              <w:t>Transfer</w:t>
            </w:r>
          </w:p>
        </w:tc>
        <w:tc>
          <w:tcPr>
            <w:tcW w:type="dxa" w:w="3202"/>
            <w:shd w:val="clear" w:color="auto" w:fill="EAF0F8"/>
          </w:tcPr>
          <w:p>
            <w:r/>
            <w:r>
              <w:rPr>
                <w:b w:val="0"/>
                <w:i w:val="0"/>
              </w:rPr>
              <w:t>Shift risk to third party (insurance, cloud)</w:t>
            </w:r>
          </w:p>
        </w:tc>
        <w:tc>
          <w:tcPr>
            <w:tcW w:type="dxa" w:w="3202"/>
            <w:shd w:val="clear" w:color="auto" w:fill="EAF0F8"/>
          </w:tcPr>
          <w:p>
            <w:r/>
            <w:r>
              <w:rPr>
                <w:b w:val="0"/>
                <w:i w:val="0"/>
              </w:rPr>
              <w:t>Third party can bear risk more efficiently</w:t>
            </w:r>
          </w:p>
        </w:tc>
      </w:tr>
      <w:tr>
        <w:tc>
          <w:tcPr>
            <w:tcW w:type="dxa" w:w="3202"/>
          </w:tcPr>
          <w:p>
            <w:r/>
            <w:r>
              <w:rPr>
                <w:b w:val="0"/>
                <w:i w:val="0"/>
              </w:rPr>
              <w:t>Avoid</w:t>
            </w:r>
          </w:p>
        </w:tc>
        <w:tc>
          <w:tcPr>
            <w:tcW w:type="dxa" w:w="3202"/>
          </w:tcPr>
          <w:p>
            <w:r/>
            <w:r>
              <w:rPr>
                <w:b w:val="0"/>
                <w:i w:val="0"/>
              </w:rPr>
              <w:t>Eliminate the activity</w:t>
            </w:r>
          </w:p>
        </w:tc>
        <w:tc>
          <w:tcPr>
            <w:tcW w:type="dxa" w:w="3202"/>
          </w:tcPr>
          <w:p>
            <w:r/>
            <w:r>
              <w:rPr>
                <w:b w:val="0"/>
                <w:i w:val="0"/>
              </w:rPr>
              <w:t>Risk exceeds benefit; activity not core</w:t>
            </w:r>
          </w:p>
        </w:tc>
      </w:tr>
      <w:tr>
        <w:tc>
          <w:tcPr>
            <w:tcW w:type="dxa" w:w="3202"/>
            <w:shd w:val="clear" w:color="auto" w:fill="EAF0F8"/>
          </w:tcPr>
          <w:p>
            <w:r/>
            <w:r>
              <w:rPr>
                <w:b w:val="0"/>
                <w:i w:val="0"/>
              </w:rPr>
              <w:t>Accept</w:t>
            </w:r>
          </w:p>
        </w:tc>
        <w:tc>
          <w:tcPr>
            <w:tcW w:type="dxa" w:w="3202"/>
            <w:shd w:val="clear" w:color="auto" w:fill="EAF0F8"/>
          </w:tcPr>
          <w:p>
            <w:r/>
            <w:r>
              <w:rPr>
                <w:b w:val="0"/>
                <w:i w:val="0"/>
              </w:rPr>
              <w:t>Documented decision to retain</w:t>
            </w:r>
          </w:p>
        </w:tc>
        <w:tc>
          <w:tcPr>
            <w:tcW w:type="dxa" w:w="3202"/>
            <w:shd w:val="clear" w:color="auto" w:fill="EAF0F8"/>
          </w:tcPr>
          <w:p>
            <w:r/>
            <w:r>
              <w:rPr>
                <w:b w:val="0"/>
                <w:i w:val="0"/>
              </w:rPr>
              <w:t>Residual risk within appetite</w:t>
            </w:r>
          </w:p>
        </w:tc>
      </w:tr>
    </w:tbl>
    <w:p>
      <w:pPr>
        <w:spacing w:after="40"/>
      </w:pPr>
    </w:p>
    <w:p>
      <w:pPr>
        <w:spacing w:after="80" w:before="0"/>
      </w:pPr>
      <w:r>
        <w:rPr>
          <w:b w:val="0"/>
          <w:i w:val="0"/>
          <w:sz w:val="21"/>
        </w:rPr>
        <w:t>4.2. Selected controls map to ISO 27001 Annex A and are recorded in the</w:t>
      </w:r>
    </w:p>
    <w:p>
      <w:pPr>
        <w:spacing w:after="80" w:before="0"/>
      </w:pPr>
      <w:r>
        <w:rPr>
          <w:b w:val="0"/>
          <w:i w:val="0"/>
          <w:sz w:val="21"/>
        </w:rPr>
        <w:t>Risk Treatment Plan and the Statement of Applicability.</w:t>
      </w:r>
    </w:p>
    <w:p>
      <w:pPr>
        <w:spacing w:before="160" w:after="120"/>
      </w:pPr>
      <w:r>
        <w:rPr>
          <w:rFonts w:ascii="Georgia" w:hAnsi="Georgia"/>
          <w:b/>
          <w:color w:val="1F3A5F"/>
          <w:sz w:val="28"/>
        </w:rPr>
        <w:t>5. RESIDUAL RISK AND ACCEPTANCE</w:t>
      </w:r>
    </w:p>
    <w:p>
      <w:pPr>
        <w:spacing w:after="80" w:before="0"/>
      </w:pPr>
      <w:r>
        <w:rPr>
          <w:b w:val="0"/>
          <w:i w:val="0"/>
          <w:sz w:val="21"/>
        </w:rPr>
        <w:t>5.1. After treatment, residual risk is re-evaluated — never assumed (book</w:t>
      </w:r>
    </w:p>
    <w:p>
      <w:pPr>
        <w:spacing w:after="80" w:before="0"/>
      </w:pPr>
      <w:r>
        <w:rPr>
          <w:b w:val="0"/>
          <w:i w:val="0"/>
          <w:sz w:val="21"/>
        </w:rPr>
        <w:t>Section 2.5):</w:t>
      </w:r>
    </w:p>
    <w:p>
      <w:pPr>
        <w:spacing w:after="80" w:before="0"/>
      </w:pPr>
      <w:r>
        <w:rPr>
          <w:b w:val="0"/>
          <w:i w:val="0"/>
          <w:sz w:val="21"/>
        </w:rPr>
        <w:t>```</w:t>
      </w:r>
    </w:p>
    <w:p>
      <w:pPr>
        <w:spacing w:after="80" w:before="0"/>
      </w:pPr>
      <w:r>
        <w:rPr>
          <w:b w:val="0"/>
          <w:i w:val="0"/>
          <w:sz w:val="21"/>
        </w:rPr>
        <w:t>Residual Risk = Inherent Risk - Control Effectiveness</w:t>
      </w:r>
    </w:p>
    <w:p>
      <w:pPr>
        <w:spacing w:after="80" w:before="0"/>
      </w:pPr>
      <w:r>
        <w:rPr>
          <w:b w:val="0"/>
          <w:i w:val="0"/>
          <w:sz w:val="21"/>
        </w:rPr>
        <w:t>```</w:t>
      </w:r>
    </w:p>
    <w:p>
      <w:pPr>
        <w:spacing w:after="120"/>
        <w:ind w:left="360"/>
      </w:pPr>
      <w:r>
        <w:rPr>
          <w:b w:val="0"/>
          <w:i/>
        </w:rPr>
        <w:t>Auditor Note: this formula is a practical heuristic for qualitative</w:t>
      </w:r>
    </w:p>
    <w:p>
      <w:pPr>
        <w:spacing w:after="120"/>
        <w:ind w:left="360"/>
      </w:pPr>
      <w:r>
        <w:rPr>
          <w:b w:val="0"/>
          <w:i/>
        </w:rPr>
        <w:t>scoring. ISO 27001:2022 does not mandate a specific mathematical formula;</w:t>
      </w:r>
    </w:p>
    <w:p>
      <w:pPr>
        <w:spacing w:after="120"/>
        <w:ind w:left="360"/>
      </w:pPr>
      <w:r>
        <w:rPr>
          <w:b w:val="0"/>
          <w:i/>
        </w:rPr>
        <w:t>it requires that residual risk is systematically evaluated and documented</w:t>
      </w:r>
    </w:p>
    <w:p>
      <w:pPr>
        <w:spacing w:after="120"/>
        <w:ind w:left="360"/>
      </w:pPr>
      <w:r>
        <w:rPr>
          <w:b w:val="0"/>
          <w:i/>
        </w:rPr>
        <w:t>(Clause 6.1.3).</w:t>
      </w:r>
    </w:p>
    <w:p>
      <w:pPr>
        <w:spacing w:after="80" w:before="0"/>
      </w:pPr>
      <w:r>
        <w:rPr>
          <w:b w:val="0"/>
          <w:i w:val="0"/>
          <w:sz w:val="21"/>
        </w:rPr>
        <w:t>5.2. A risk is formally accepted only when: the residual score is</w:t>
      </w:r>
    </w:p>
    <w:p>
      <w:pPr>
        <w:spacing w:after="80" w:before="0"/>
      </w:pPr>
      <w:r>
        <w:rPr>
          <w:b w:val="0"/>
          <w:i w:val="0"/>
          <w:sz w:val="21"/>
        </w:rPr>
        <w:t>re-evaluated, it is within documented risk appetite, the risk owner signs</w:t>
      </w:r>
    </w:p>
    <w:p>
      <w:pPr>
        <w:spacing w:after="80" w:before="0"/>
      </w:pPr>
      <w:r>
        <w:rPr>
          <w:b w:val="0"/>
          <w:i w:val="0"/>
          <w:sz w:val="21"/>
        </w:rPr>
        <w:t>off, and evidence of reduction is documented. Use the Risk Acceptance Form.</w:t>
      </w:r>
    </w:p>
    <w:p>
      <w:pPr>
        <w:spacing w:before="160" w:after="120"/>
      </w:pPr>
      <w:r>
        <w:rPr>
          <w:rFonts w:ascii="Georgia" w:hAnsi="Georgia"/>
          <w:b/>
          <w:color w:val="1F3A5F"/>
          <w:sz w:val="28"/>
        </w:rPr>
        <w:t>6. RISK COMMUNICATION AND REPORTING</w:t>
      </w:r>
    </w:p>
    <w:p>
      <w:pPr>
        <w:spacing w:after="80" w:before="0"/>
      </w:pPr>
      <w:r>
        <w:rPr>
          <w:b w:val="0"/>
          <w:i w:val="0"/>
          <w:sz w:val="21"/>
        </w:rPr>
        <w:t>6.1. Risks are reported to stakeholders at defined intervals: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8C4D8"/>
          <w:left w:val="single" w:sz="4" w:space="0" w:color="B8C4D8"/>
          <w:bottom w:val="single" w:sz="4" w:space="0" w:color="B8C4D8"/>
          <w:right w:val="single" w:sz="4" w:space="0" w:color="B8C4D8"/>
          <w:insideH w:val="single" w:sz="4" w:space="0" w:color="B8C4D8"/>
          <w:insideV w:val="single" w:sz="4" w:space="0" w:color="B8C4D8"/>
        </w:tblBorders>
      </w:tblPr>
      <w:tblGrid>
        <w:gridCol w:w="3202"/>
        <w:gridCol w:w="3202"/>
        <w:gridCol w:w="3202"/>
      </w:tblGrid>
      <w:tr>
        <w:tc>
          <w:tcPr>
            <w:tcW w:type="dxa" w:w="3202"/>
            <w:shd w:val="clear" w:color="auto" w:fill="1F3A5F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i w:val="0"/>
                <w:color w:val="FFFFFF"/>
                <w:sz w:val="19"/>
              </w:rPr>
              <w:t>Audience</w:t>
            </w:r>
          </w:p>
        </w:tc>
        <w:tc>
          <w:tcPr>
            <w:tcW w:type="dxa" w:w="3202"/>
            <w:shd w:val="clear" w:color="auto" w:fill="1F3A5F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i w:val="0"/>
                <w:color w:val="FFFFFF"/>
                <w:sz w:val="19"/>
              </w:rPr>
              <w:t>Report</w:t>
            </w:r>
          </w:p>
        </w:tc>
        <w:tc>
          <w:tcPr>
            <w:tcW w:type="dxa" w:w="3202"/>
            <w:shd w:val="clear" w:color="auto" w:fill="1F3A5F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i w:val="0"/>
                <w:color w:val="FFFFFF"/>
                <w:sz w:val="19"/>
              </w:rPr>
              <w:t>Frequency</w:t>
            </w:r>
          </w:p>
        </w:tc>
      </w:tr>
      <w:tr>
        <w:tc>
          <w:tcPr>
            <w:tcW w:type="dxa" w:w="3202"/>
          </w:tcPr>
          <w:p>
            <w:r/>
            <w:r>
              <w:rPr>
                <w:b w:val="0"/>
                <w:i w:val="0"/>
              </w:rPr>
              <w:t>Board / Executives</w:t>
            </w:r>
          </w:p>
        </w:tc>
        <w:tc>
          <w:tcPr>
            <w:tcW w:type="dxa" w:w="3202"/>
          </w:tcPr>
          <w:p>
            <w:r/>
            <w:r>
              <w:rPr>
                <w:b w:val="0"/>
                <w:i w:val="0"/>
              </w:rPr>
              <w:t>Executive Risk Summary</w:t>
            </w:r>
          </w:p>
        </w:tc>
        <w:tc>
          <w:tcPr>
            <w:tcW w:type="dxa" w:w="3202"/>
          </w:tcPr>
          <w:p>
            <w:r/>
            <w:r>
              <w:rPr>
                <w:b w:val="0"/>
                <w:i w:val="0"/>
              </w:rPr>
              <w:t>Quarterly</w:t>
            </w:r>
          </w:p>
        </w:tc>
      </w:tr>
      <w:tr>
        <w:tc>
          <w:tcPr>
            <w:tcW w:type="dxa" w:w="3202"/>
            <w:shd w:val="clear" w:color="auto" w:fill="EAF0F8"/>
          </w:tcPr>
          <w:p>
            <w:r/>
            <w:r>
              <w:rPr>
                <w:b w:val="0"/>
                <w:i w:val="0"/>
              </w:rPr>
              <w:t>ISSC</w:t>
            </w:r>
          </w:p>
        </w:tc>
        <w:tc>
          <w:tcPr>
            <w:tcW w:type="dxa" w:w="3202"/>
            <w:shd w:val="clear" w:color="auto" w:fill="EAF0F8"/>
          </w:tcPr>
          <w:p>
            <w:r/>
            <w:r>
              <w:rPr>
                <w:b w:val="0"/>
                <w:i w:val="0"/>
              </w:rPr>
              <w:t>Risk Register update</w:t>
            </w:r>
          </w:p>
        </w:tc>
        <w:tc>
          <w:tcPr>
            <w:tcW w:type="dxa" w:w="3202"/>
            <w:shd w:val="clear" w:color="auto" w:fill="EAF0F8"/>
          </w:tcPr>
          <w:p>
            <w:r/>
            <w:r>
              <w:rPr>
                <w:b w:val="0"/>
                <w:i w:val="0"/>
              </w:rPr>
              <w:t>Monthly</w:t>
            </w:r>
          </w:p>
        </w:tc>
      </w:tr>
      <w:tr>
        <w:tc>
          <w:tcPr>
            <w:tcW w:type="dxa" w:w="3202"/>
          </w:tcPr>
          <w:p>
            <w:r/>
            <w:r>
              <w:rPr>
                <w:b w:val="0"/>
                <w:i w:val="0"/>
              </w:rPr>
              <w:t>Risk Owners</w:t>
            </w:r>
          </w:p>
        </w:tc>
        <w:tc>
          <w:tcPr>
            <w:tcW w:type="dxa" w:w="3202"/>
          </w:tcPr>
          <w:p>
            <w:r/>
            <w:r>
              <w:rPr>
                <w:b w:val="0"/>
                <w:i w:val="0"/>
              </w:rPr>
              <w:t>Treatment plan status</w:t>
            </w:r>
          </w:p>
        </w:tc>
        <w:tc>
          <w:tcPr>
            <w:tcW w:type="dxa" w:w="3202"/>
          </w:tcPr>
          <w:p>
            <w:r/>
            <w:r>
              <w:rPr>
                <w:b w:val="0"/>
                <w:i w:val="0"/>
              </w:rPr>
              <w:t>Monthly</w:t>
            </w:r>
          </w:p>
        </w:tc>
      </w:tr>
      <w:tr>
        <w:tc>
          <w:tcPr>
            <w:tcW w:type="dxa" w:w="3202"/>
            <w:shd w:val="clear" w:color="auto" w:fill="EAF0F8"/>
          </w:tcPr>
          <w:p>
            <w:r/>
            <w:r>
              <w:rPr>
                <w:b w:val="0"/>
                <w:i w:val="0"/>
              </w:rPr>
              <w:t>All staff</w:t>
            </w:r>
          </w:p>
        </w:tc>
        <w:tc>
          <w:tcPr>
            <w:tcW w:type="dxa" w:w="3202"/>
            <w:shd w:val="clear" w:color="auto" w:fill="EAF0F8"/>
          </w:tcPr>
          <w:p>
            <w:r/>
            <w:r>
              <w:rPr>
                <w:b w:val="0"/>
                <w:i w:val="0"/>
              </w:rPr>
              <w:t>Awareness communications</w:t>
            </w:r>
          </w:p>
        </w:tc>
        <w:tc>
          <w:tcPr>
            <w:tcW w:type="dxa" w:w="3202"/>
            <w:shd w:val="clear" w:color="auto" w:fill="EAF0F8"/>
          </w:tcPr>
          <w:p>
            <w:r/>
            <w:r>
              <w:rPr>
                <w:b w:val="0"/>
                <w:i w:val="0"/>
              </w:rPr>
              <w:t>As needed</w:t>
            </w:r>
          </w:p>
        </w:tc>
      </w:tr>
    </w:tbl>
    <w:p>
      <w:pPr>
        <w:spacing w:after="40"/>
      </w:pPr>
    </w:p>
    <w:p>
      <w:pPr>
        <w:spacing w:before="160" w:after="120"/>
      </w:pPr>
      <w:r>
        <w:rPr>
          <w:rFonts w:ascii="Georgia" w:hAnsi="Georgia"/>
          <w:b/>
          <w:color w:val="1F3A5F"/>
          <w:sz w:val="28"/>
        </w:rPr>
        <w:t>7. REVIEW AND UPDATE</w:t>
      </w:r>
    </w:p>
    <w:p>
      <w:pPr>
        <w:spacing w:after="80" w:before="0"/>
      </w:pPr>
      <w:r>
        <w:rPr>
          <w:b w:val="0"/>
          <w:i w:val="0"/>
          <w:sz w:val="21"/>
        </w:rPr>
        <w:t>7.1. The full risk assessment is repeated at least annually, or when:</w:t>
      </w:r>
    </w:p>
    <w:p>
      <w:pPr>
        <w:spacing w:after="40"/>
        <w:ind w:left="432"/>
      </w:pPr>
      <w:r>
        <w:rPr>
          <w:b w:val="0"/>
          <w:i w:val="0"/>
        </w:rPr>
        <w:t>Significant changes to the organization, technology, or threat landscape</w:t>
      </w:r>
    </w:p>
    <w:p>
      <w:pPr>
        <w:spacing w:after="40"/>
        <w:ind w:left="432"/>
      </w:pPr>
      <w:r>
        <w:rPr>
          <w:b w:val="0"/>
          <w:i w:val="0"/>
        </w:rPr>
        <w:t>New regulations become applicable</w:t>
      </w:r>
    </w:p>
    <w:p>
      <w:pPr>
        <w:spacing w:after="40"/>
        <w:ind w:left="432"/>
      </w:pPr>
      <w:r>
        <w:rPr>
          <w:b w:val="0"/>
          <w:i w:val="0"/>
        </w:rPr>
        <w:t>After major incidents</w:t>
      </w:r>
    </w:p>
    <w:p>
      <w:pPr>
        <w:spacing w:after="40"/>
        <w:ind w:left="432"/>
      </w:pPr>
      <w:r>
        <w:rPr>
          <w:b w:val="0"/>
          <w:i w:val="0"/>
        </w:rPr>
        <w:t>Material changes to scope</w:t>
      </w:r>
    </w:p>
    <w:p>
      <w:pPr>
        <w:spacing w:before="160" w:after="120"/>
      </w:pPr>
      <w:r>
        <w:rPr>
          <w:rFonts w:ascii="Georgia" w:hAnsi="Georgia"/>
          <w:b/>
          <w:color w:val="1F3A5F"/>
          <w:sz w:val="28"/>
        </w:rPr>
        <w:t>APPROVAL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8C4D8"/>
          <w:left w:val="single" w:sz="4" w:space="0" w:color="B8C4D8"/>
          <w:bottom w:val="single" w:sz="4" w:space="0" w:color="B8C4D8"/>
          <w:right w:val="single" w:sz="4" w:space="0" w:color="B8C4D8"/>
          <w:insideH w:val="single" w:sz="4" w:space="0" w:color="B8C4D8"/>
          <w:insideV w:val="single" w:sz="4" w:space="0" w:color="B8C4D8"/>
        </w:tblBorders>
      </w:tblPr>
      <w:tblGrid>
        <w:gridCol w:w="2401"/>
        <w:gridCol w:w="2401"/>
        <w:gridCol w:w="2401"/>
        <w:gridCol w:w="2401"/>
      </w:tblGrid>
      <w:tr>
        <w:tc>
          <w:tcPr>
            <w:tcW w:type="dxa" w:w="2401"/>
            <w:shd w:val="clear" w:color="auto" w:fill="1F3A5F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i w:val="0"/>
                <w:color w:val="FFFFFF"/>
                <w:sz w:val="19"/>
              </w:rPr>
              <w:t>Role</w:t>
            </w:r>
          </w:p>
        </w:tc>
        <w:tc>
          <w:tcPr>
            <w:tcW w:type="dxa" w:w="2401"/>
            <w:shd w:val="clear" w:color="auto" w:fill="1F3A5F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i w:val="0"/>
                <w:color w:val="FFFFFF"/>
                <w:sz w:val="19"/>
              </w:rPr>
              <w:t>Name</w:t>
            </w:r>
          </w:p>
        </w:tc>
        <w:tc>
          <w:tcPr>
            <w:tcW w:type="dxa" w:w="2401"/>
            <w:shd w:val="clear" w:color="auto" w:fill="1F3A5F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i w:val="0"/>
                <w:color w:val="FFFFFF"/>
                <w:sz w:val="19"/>
              </w:rPr>
              <w:t>Signature</w:t>
            </w:r>
          </w:p>
        </w:tc>
        <w:tc>
          <w:tcPr>
            <w:tcW w:type="dxa" w:w="2401"/>
            <w:shd w:val="clear" w:color="auto" w:fill="1F3A5F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i w:val="0"/>
                <w:color w:val="FFFFFF"/>
                <w:sz w:val="19"/>
              </w:rPr>
              <w:t>Date</w:t>
            </w:r>
          </w:p>
        </w:tc>
      </w:tr>
      <w:tr>
        <w:tc>
          <w:tcPr>
            <w:tcW w:type="dxa" w:w="2401"/>
          </w:tcPr>
          <w:p>
            <w:r/>
            <w:r>
              <w:rPr>
                <w:b w:val="0"/>
                <w:i w:val="0"/>
              </w:rPr>
              <w:t>Risk Manager</w:t>
            </w:r>
          </w:p>
        </w:tc>
        <w:tc>
          <w:tcPr>
            <w:tcW w:type="dxa" w:w="2401"/>
          </w:tcPr>
          <w:p>
            <w:r/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  <w:tc>
          <w:tcPr>
            <w:tcW w:type="dxa" w:w="2401"/>
          </w:tcPr>
          <w:p>
            <w:r/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  <w:tc>
          <w:tcPr>
            <w:tcW w:type="dxa" w:w="2401"/>
          </w:tcPr>
          <w:p>
            <w:r/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</w:tr>
      <w:tr>
        <w:tc>
          <w:tcPr>
            <w:tcW w:type="dxa" w:w="2401"/>
            <w:shd w:val="clear" w:color="auto" w:fill="EAF0F8"/>
          </w:tcPr>
          <w:p>
            <w:r/>
            <w:r>
              <w:rPr>
                <w:b w:val="0"/>
                <w:i w:val="0"/>
              </w:rPr>
              <w:t>ISSC</w:t>
            </w:r>
          </w:p>
        </w:tc>
        <w:tc>
          <w:tcPr>
            <w:tcW w:type="dxa" w:w="2401"/>
            <w:shd w:val="clear" w:color="auto" w:fill="EAF0F8"/>
          </w:tcPr>
          <w:p>
            <w:r/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  <w:tc>
          <w:tcPr>
            <w:tcW w:type="dxa" w:w="2401"/>
            <w:shd w:val="clear" w:color="auto" w:fill="EAF0F8"/>
          </w:tcPr>
          <w:p>
            <w:r/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  <w:tc>
          <w:tcPr>
            <w:tcW w:type="dxa" w:w="2401"/>
            <w:shd w:val="clear" w:color="auto" w:fill="EAF0F8"/>
          </w:tcPr>
          <w:p>
            <w:r/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</w:tr>
    </w:tbl>
    <w:p>
      <w:pPr>
        <w:spacing w:after="40"/>
      </w:pPr>
    </w:p>
    <w:p>
      <w:pPr>
        <w:spacing w:before="160" w:after="120"/>
      </w:pPr>
      <w:r>
        <w:rPr>
          <w:rFonts w:ascii="Georgia" w:hAnsi="Georgia"/>
          <w:b/>
          <w:color w:val="1F3A5F"/>
          <w:sz w:val="28"/>
        </w:rPr>
        <w:t>DOCUMENT CONTROL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8C4D8"/>
          <w:left w:val="single" w:sz="4" w:space="0" w:color="B8C4D8"/>
          <w:bottom w:val="single" w:sz="4" w:space="0" w:color="B8C4D8"/>
          <w:right w:val="single" w:sz="4" w:space="0" w:color="B8C4D8"/>
          <w:insideH w:val="single" w:sz="4" w:space="0" w:color="B8C4D8"/>
          <w:insideV w:val="single" w:sz="4" w:space="0" w:color="B8C4D8"/>
        </w:tblBorders>
      </w:tblPr>
      <w:tblGrid>
        <w:gridCol w:w="2401"/>
        <w:gridCol w:w="2401"/>
        <w:gridCol w:w="2401"/>
        <w:gridCol w:w="2401"/>
      </w:tblGrid>
      <w:tr>
        <w:tc>
          <w:tcPr>
            <w:tcW w:type="dxa" w:w="2401"/>
            <w:shd w:val="clear" w:color="auto" w:fill="1F3A5F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i w:val="0"/>
                <w:color w:val="FFFFFF"/>
                <w:sz w:val="19"/>
              </w:rPr>
              <w:t>Version</w:t>
            </w:r>
          </w:p>
        </w:tc>
        <w:tc>
          <w:tcPr>
            <w:tcW w:type="dxa" w:w="2401"/>
            <w:shd w:val="clear" w:color="auto" w:fill="1F3A5F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i w:val="0"/>
                <w:color w:val="FFFFFF"/>
                <w:sz w:val="19"/>
              </w:rPr>
              <w:t>Date</w:t>
            </w:r>
          </w:p>
        </w:tc>
        <w:tc>
          <w:tcPr>
            <w:tcW w:type="dxa" w:w="2401"/>
            <w:shd w:val="clear" w:color="auto" w:fill="1F3A5F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i w:val="0"/>
                <w:color w:val="FFFFFF"/>
                <w:sz w:val="19"/>
              </w:rPr>
              <w:t>Author</w:t>
            </w:r>
          </w:p>
        </w:tc>
        <w:tc>
          <w:tcPr>
            <w:tcW w:type="dxa" w:w="2401"/>
            <w:shd w:val="clear" w:color="auto" w:fill="1F3A5F"/>
          </w:tcPr>
          <w:p>
            <w:r>
              <w:rPr>
                <w:b/>
                <w:color w:val="FFFFFF"/>
                <w:sz w:val="19"/>
              </w:rPr>
            </w:r>
            <w:r>
              <w:rPr>
                <w:b/>
                <w:i w:val="0"/>
                <w:color w:val="FFFFFF"/>
                <w:sz w:val="19"/>
              </w:rPr>
              <w:t>Change Description</w:t>
            </w:r>
          </w:p>
        </w:tc>
      </w:tr>
      <w:tr>
        <w:tc>
          <w:tcPr>
            <w:tcW w:type="dxa" w:w="2401"/>
          </w:tcPr>
          <w:p>
            <w:r/>
            <w:r>
              <w:rPr>
                <w:b w:val="0"/>
                <w:i w:val="0"/>
              </w:rPr>
              <w:t>0.1</w:t>
            </w:r>
          </w:p>
        </w:tc>
        <w:tc>
          <w:tcPr>
            <w:tcW w:type="dxa" w:w="2401"/>
          </w:tcPr>
          <w:p>
            <w:r/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  <w:tc>
          <w:tcPr>
            <w:tcW w:type="dxa" w:w="2401"/>
          </w:tcPr>
          <w:p>
            <w:r/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  <w:tc>
          <w:tcPr>
            <w:tcW w:type="dxa" w:w="2401"/>
          </w:tcPr>
          <w:p>
            <w:r/>
            <w:r>
              <w:rPr>
                <w:b w:val="0"/>
                <w:i w:val="0"/>
              </w:rPr>
              <w:t>Initial draft</w:t>
            </w:r>
          </w:p>
        </w:tc>
      </w:tr>
      <w:tr>
        <w:tc>
          <w:tcPr>
            <w:tcW w:type="dxa" w:w="2401"/>
            <w:shd w:val="clear" w:color="auto" w:fill="EAF0F8"/>
          </w:tcPr>
          <w:p>
            <w:r/>
            <w:r>
              <w:rPr>
                <w:b w:val="0"/>
                <w:i w:val="0"/>
              </w:rPr>
              <w:t>1.0</w:t>
            </w:r>
          </w:p>
        </w:tc>
        <w:tc>
          <w:tcPr>
            <w:tcW w:type="dxa" w:w="2401"/>
            <w:shd w:val="clear" w:color="auto" w:fill="EAF0F8"/>
          </w:tcPr>
          <w:p>
            <w:r/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  <w:tc>
          <w:tcPr>
            <w:tcW w:type="dxa" w:w="2401"/>
            <w:shd w:val="clear" w:color="auto" w:fill="EAF0F8"/>
          </w:tcPr>
          <w:p>
            <w:r/>
            <w:r>
              <w:rPr>
                <w:u/>
              </w:rPr>
              <w:fldChar w:fldCharType="begin"/>
              <w:instrText xml:space="preserve"> FORMTEXT </w:instrText>
              <w:fldChar w:fldCharType="separate"/>
              <w:t>                             </w:t>
              <w:fldChar w:fldCharType="end"/>
            </w:r>
          </w:p>
        </w:tc>
        <w:tc>
          <w:tcPr>
            <w:tcW w:type="dxa" w:w="2401"/>
            <w:shd w:val="clear" w:color="auto" w:fill="EAF0F8"/>
          </w:tcPr>
          <w:p>
            <w:r/>
            <w:r>
              <w:rPr>
                <w:b w:val="0"/>
                <w:i w:val="0"/>
              </w:rPr>
              <w:t>Approved</w:t>
            </w:r>
          </w:p>
        </w:tc>
      </w:tr>
    </w:tbl>
    <w:p>
      <w:pPr>
        <w:spacing w:after="40"/>
      </w:pPr>
    </w:p>
    <w:p>
      <w:pPr>
        <w:spacing w:after="80" w:before="0"/>
      </w:pPr>
      <w:r>
        <w:rPr>
          <w:b w:val="0"/>
          <w:i w:val="0"/>
          <w:sz w:val="21"/>
        </w:rPr>
        <w:t>*Template from "The Governance, Risk and Compliance Architect" (Hendriksen,</w:t>
      </w:r>
    </w:p>
    <w:p>
      <w:pPr>
        <w:spacing w:after="80" w:before="0"/>
      </w:pPr>
      <w:r>
        <w:rPr>
          <w:b w:val="0"/>
          <w:i w:val="0"/>
          <w:sz w:val="21"/>
        </w:rPr>
        <w:t>2026). Adapt to your organization's context before use.*</w:t>
      </w:r>
    </w:p>
    <w:sectPr w:rsidR="00FC693F" w:rsidRPr="0006063C" w:rsidSect="00034616">
      <w:pgSz w:w="11909" w:h="16834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documentProtection w:edit="forms" w:enforcement="1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Georgia" w:hAnsi="Georgi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