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RISK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-RR-001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 / Risk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ISSC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Monthly (ISSC), Annual (full re-assessment)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The single source of truth for every identified information</w:t>
      </w:r>
    </w:p>
    <w:p>
      <w:pPr>
        <w:spacing w:after="120"/>
        <w:ind w:left="360"/>
      </w:pPr>
      <w:r>
        <w:rPr>
          <w:b w:val="0"/>
          <w:i/>
        </w:rPr>
        <w:t>security risk. One row per risk, one owner per row, a review date on every</w:t>
      </w:r>
    </w:p>
    <w:p>
      <w:pPr>
        <w:spacing w:after="120"/>
        <w:ind w:left="360"/>
      </w:pPr>
      <w:r>
        <w:rPr>
          <w:b w:val="0"/>
          <w:i/>
        </w:rPr>
        <w:t>row. This document drives the Statement of Applicability, the audit</w:t>
      </w:r>
    </w:p>
    <w:p>
      <w:pPr>
        <w:spacing w:after="120"/>
        <w:ind w:left="360"/>
      </w:pPr>
      <w:r>
        <w:rPr>
          <w:b w:val="0"/>
          <w:i/>
        </w:rPr>
        <w:t>program, and the management review.</w:t>
      </w:r>
    </w:p>
    <w:p>
      <w:pPr>
        <w:spacing w:after="120"/>
        <w:ind w:left="360"/>
      </w:pPr>
      <w:r>
        <w:rPr>
          <w:b/>
          <w:i/>
        </w:rPr>
        <w:t>How to use this template: copy the table below into your governance</w:t>
      </w:r>
    </w:p>
    <w:p>
      <w:pPr>
        <w:spacing w:after="120"/>
        <w:ind w:left="360"/>
      </w:pPr>
      <w:r>
        <w:rPr>
          <w:b w:val="0"/>
          <w:i/>
        </w:rPr>
        <w:t>platform or spreadsheet. Keep it as ONE table — do not split by</w:t>
      </w:r>
    </w:p>
    <w:p>
      <w:pPr>
        <w:spacing w:after="120"/>
        <w:ind w:left="360"/>
      </w:pPr>
      <w:r>
        <w:rPr>
          <w:b w:val="0"/>
          <w:i/>
        </w:rPr>
        <w:t>department. Every risk gets a unique ID in the format R-YYYY-NNN.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RISK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 ID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 Identified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Asset(s) Affected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Threat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Vulnerability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Likelihood (1-5)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Impact (1-5)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Inherent Score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Verdict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Treatment Option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Controls Applied (A.X.XX)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Target Score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Residual Score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 Owner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6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Next Review</w:t>
            </w:r>
          </w:p>
        </w:tc>
      </w:tr>
      <w:tr>
        <w:tc>
          <w:tcPr>
            <w:tcW w:type="dxa" w:w="600"/>
          </w:tcPr>
          <w:p>
            <w:r/>
            <w:r>
              <w:rPr>
                <w:b w:val="0"/>
                <w:i w:val="0"/>
              </w:rPr>
              <w:t>R-2026-001</w:t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fldChar w:fldCharType="begin"/>
              <w:fldPr>
                <w:ffData>
                  <w:ffName w:val="Acceptable"/>
                  <w:ffName w:val="Tolerable"/>
                  <w:ffName w:val="Intolerable"/>
                </w:ffData>
              </w:fldPr>
              <w:instrText xml:space="preserve"> FORMDROPDOWN </w:instrText>
              <w:fldChar w:fldCharType="separate"/>
              <w:t>Acceptable</w:t>
              <w:fldChar w:fldCharType="end"/>
            </w:r>
          </w:p>
        </w:tc>
        <w:tc>
          <w:tcPr>
            <w:tcW w:type="dxa" w:w="600"/>
          </w:tcPr>
          <w:p>
            <w:r/>
            <w:r>
              <w:fldChar w:fldCharType="begin"/>
              <w:fldPr>
                <w:ffData>
                  <w:ffName w:val="Mitigate"/>
                  <w:ffName w:val="Transfer"/>
                  <w:ffName w:val="Avoid"/>
                  <w:ffName w:val="Accept"/>
                </w:ffData>
              </w:fldPr>
              <w:instrText xml:space="preserve"> FORMDROPDOWN </w:instrText>
              <w:fldChar w:fldCharType="separate"/>
              <w:t>Mitigate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b w:val="0"/>
                <w:i w:val="0"/>
              </w:rPr>
              <w:t>[A.5.15, A.8.2, ...]</w:t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fldChar w:fldCharType="begin"/>
              <w:fldPr>
                <w:ffData>
                  <w:ffName w:val="Open"/>
                  <w:ffName w:val="Treatment"/>
                  <w:ffName w:val="Accepted"/>
                  <w:ffName w:val="Closed"/>
                </w:ffData>
              </w:fldPr>
              <w:instrText xml:space="preserve"> FORMDROPDOWN </w:instrText>
              <w:fldChar w:fldCharType="separate"/>
              <w:t>Open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600"/>
            <w:shd w:val="clear" w:color="auto" w:fill="EAF0F8"/>
          </w:tcPr>
          <w:p>
            <w:r/>
            <w:r>
              <w:rPr>
                <w:b w:val="0"/>
                <w:i w:val="0"/>
              </w:rPr>
              <w:t>R-2026-002</w:t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600"/>
          </w:tcPr>
          <w:p>
            <w:r/>
            <w:r>
              <w:rPr>
                <w:b w:val="0"/>
                <w:i w:val="0"/>
              </w:rPr>
              <w:t>R-2026-003</w:t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600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REGISTER RULES</w:t>
      </w:r>
    </w:p>
    <w:p>
      <w:pPr>
        <w:spacing w:after="40"/>
        <w:ind w:left="432"/>
      </w:pPr>
      <w:r>
        <w:rPr>
          <w:b w:val="0"/>
          <w:i w:val="0"/>
        </w:rPr>
        <w:t>1. **Score, not count** — the top 10 scores consume 80% of attention.</w:t>
      </w:r>
    </w:p>
    <w:p>
      <w:pPr>
        <w:spacing w:after="40"/>
        <w:ind w:left="432"/>
      </w:pPr>
      <w:r>
        <w:rPr>
          <w:b w:val="0"/>
          <w:i w:val="0"/>
        </w:rPr>
        <w:t>2. **Verdicts** follow the Risk Assessment Methodology: 1-4 Acceptable,</w:t>
      </w:r>
    </w:p>
    <w:p>
      <w:pPr>
        <w:spacing w:after="80" w:before="0"/>
      </w:pPr>
      <w:r>
        <w:rPr>
          <w:b w:val="0"/>
          <w:i w:val="0"/>
          <w:sz w:val="21"/>
        </w:rPr>
        <w:t>5-9 Tolerable, 10-15 Intolerable, 16-25 Critical.</w:t>
      </w:r>
    </w:p>
    <w:p>
      <w:pPr>
        <w:spacing w:after="40"/>
        <w:ind w:left="432"/>
      </w:pPr>
      <w:r>
        <w:rPr>
          <w:b w:val="0"/>
          <w:i w:val="0"/>
        </w:rPr>
        <w:t>3. **Residual score** is re-evaluated after treatment — never assumed.</w:t>
      </w:r>
    </w:p>
    <w:p>
      <w:pPr>
        <w:spacing w:after="40"/>
        <w:ind w:left="432"/>
      </w:pPr>
      <w:r>
        <w:rPr>
          <w:b w:val="0"/>
          <w:i w:val="0"/>
        </w:rPr>
        <w:t>4. A risk closes only when: residual risk is within appetite, the owner</w:t>
      </w:r>
    </w:p>
    <w:p>
      <w:pPr>
        <w:spacing w:after="80" w:before="0"/>
      </w:pPr>
      <w:r>
        <w:rPr>
          <w:b w:val="0"/>
          <w:i w:val="0"/>
          <w:sz w:val="21"/>
        </w:rPr>
        <w:t>signs the Risk Acceptance Form, and evidence of reduction is documented.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Open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Identified, evaluation pending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Treatment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Treatment plan in progress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Accepted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Residual risk formally accepted by owner</w:t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Transferred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Risk shifted to third party (insurance/cloud)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Closed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Residual risk within appetite, evidence documented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Risk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ISSC Review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