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TREATMENT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-RTP-001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Risk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Monthly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Documents the treatment decision for every risk marked</w:t>
      </w:r>
    </w:p>
    <w:p>
      <w:pPr>
        <w:spacing w:after="120"/>
        <w:ind w:left="360"/>
      </w:pPr>
      <w:r>
        <w:rPr>
          <w:b w:val="0"/>
          <w:i/>
        </w:rPr>
        <w:t>tolerable or intolerable: what will be done, who owns it, by when, and</w:t>
      </w:r>
    </w:p>
    <w:p>
      <w:pPr>
        <w:spacing w:after="120"/>
        <w:ind w:left="360"/>
      </w:pPr>
      <w:r>
        <w:rPr>
          <w:b w:val="0"/>
          <w:i/>
        </w:rPr>
        <w:t>what the target residual score is. This is the commitment the internal</w:t>
      </w:r>
    </w:p>
    <w:p>
      <w:pPr>
        <w:spacing w:after="120"/>
        <w:ind w:left="360"/>
      </w:pPr>
      <w:r>
        <w:rPr>
          <w:b w:val="0"/>
          <w:i/>
        </w:rPr>
        <w:t>audit tests against (Clause 6.1.3).</w:t>
      </w:r>
    </w:p>
    <w:p>
      <w:pPr>
        <w:spacing w:after="120"/>
        <w:ind w:left="360"/>
      </w:pPr>
      <w:r>
        <w:rPr>
          <w:b/>
          <w:i/>
        </w:rPr>
        <w:t>How to use this template: one treatment plan entry per risk. Reference</w:t>
      </w:r>
    </w:p>
    <w:p>
      <w:pPr>
        <w:spacing w:after="120"/>
        <w:ind w:left="360"/>
      </w:pPr>
      <w:r>
        <w:rPr>
          <w:b w:val="0"/>
          <w:i/>
        </w:rPr>
        <w:t>the Risk Register risk ID. Map each control to its Annex A number — this</w:t>
      </w:r>
    </w:p>
    <w:p>
      <w:pPr>
        <w:spacing w:after="120"/>
        <w:ind w:left="360"/>
      </w:pPr>
      <w:r>
        <w:rPr>
          <w:b w:val="0"/>
          <w:i/>
        </w:rPr>
        <w:t>is how the Statement of Applicability is born.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TREATMENT ENTRIES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Risk ID: [R-2026-___]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Description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Current (Inherent) Score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Treatment Option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Mitigate"/>
                  <w:ffName w:val="Transfer"/>
                  <w:ffName w:val="Avoid"/>
                  <w:ffName w:val="Accept"/>
                </w:ffData>
              </w:fldPr>
              <w:instrText xml:space="preserve"> FORMDROPDOWN </w:instrText>
              <w:fldChar w:fldCharType="separate"/>
              <w:t>Mitigate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Rationale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[Why this option: cost-benefit, appetite, third-party capacity]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Residual Score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Controls to Implement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[A.5.15 Access control, A.8.28 Secure coding, ...]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Implementation Owner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Resources Required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Budget, headcount, tooling: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Completion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Effectiveness Measure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[How will we prove the control works: test, review, metric]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Risk ID: [R-2026-___]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Description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Current (Inherent) Score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Treatment Option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Rationale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Residual Score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Controls to Implement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Implementation Owner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Resources Required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Completion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Effectiveness Measure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TREATMENT STATUS TRACKING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ID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 Date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Evidence of Implementation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Residual Score Confirmed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Closed</w:t>
            </w:r>
          </w:p>
        </w:tc>
      </w:tr>
      <w:tr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</w:tcPr>
          <w:p>
            <w:r/>
            <w:r>
              <w:fldChar w:fldCharType="begin"/>
              <w:fldPr>
                <w:ffData>
                  <w:ffName w:val="Not started"/>
                  <w:ffName w:val="In progress"/>
                  <w:ffName w:val="Implemented"/>
                </w:ffData>
              </w:fldPr>
              <w:instrText xml:space="preserve"> FORMDROPDOWN </w:instrText>
              <w:fldChar w:fldCharType="separate"/>
              <w:t>Not started</w:t>
              <w:fldChar w:fldCharType="end"/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[Control test result, config export]</w:t>
            </w:r>
          </w:p>
        </w:tc>
        <w:tc>
          <w:tcPr>
            <w:tcW w:type="dxa" w:w="1372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372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 w:val="0"/>
          <w:i/>
        </w:rPr>
        <w:t>Auditor Note: risk closure requires re-assessment of residual risk</w:t>
      </w:r>
    </w:p>
    <w:p>
      <w:pPr>
        <w:spacing w:after="120"/>
        <w:ind w:left="360"/>
      </w:pPr>
      <w:r>
        <w:rPr>
          <w:b w:val="0"/>
          <w:i/>
        </w:rPr>
        <w:t>(never assumed), confirmation it is within appetite, and risk-owner</w:t>
      </w:r>
    </w:p>
    <w:p>
      <w:pPr>
        <w:spacing w:after="120"/>
        <w:ind w:left="360"/>
      </w:pPr>
      <w:r>
        <w:rPr>
          <w:b w:val="0"/>
          <w:i/>
        </w:rPr>
        <w:t>sign-off — see the Risk Acceptance Form.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Risk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