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STATEMENT OF APPLICABILITY (SoA)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-SOA-001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CISO / ISMS Manager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ISSC / Management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Annual + on any SoA update trigger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Records which ISO/IEC 27001:2022 Annex A controls apply to</w:t>
      </w:r>
    </w:p>
    <w:p>
      <w:pPr>
        <w:spacing w:after="120"/>
        <w:ind w:left="360"/>
      </w:pPr>
      <w:r>
        <w:rPr>
          <w:b w:val="0"/>
          <w:i/>
        </w:rPr>
        <w:t>the ISMS and why. Every excluded control needs a justification grounded</w:t>
      </w:r>
    </w:p>
    <w:p>
      <w:pPr>
        <w:spacing w:after="120"/>
        <w:ind w:left="360"/>
      </w:pPr>
      <w:r>
        <w:rPr>
          <w:b w:val="0"/>
          <w:i/>
        </w:rPr>
        <w:t>in the risk assessment (Clause 6.1.3(d)) — generic "not applicable"</w:t>
      </w:r>
    </w:p>
    <w:p>
      <w:pPr>
        <w:spacing w:after="120"/>
        <w:ind w:left="360"/>
      </w:pPr>
      <w:r>
        <w:rPr>
          <w:b w:val="0"/>
          <w:i/>
        </w:rPr>
        <w:t>statements fail certification audits.</w:t>
      </w:r>
    </w:p>
    <w:p>
      <w:pPr>
        <w:spacing w:after="120"/>
        <w:ind w:left="360"/>
      </w:pPr>
      <w:r>
        <w:rPr>
          <w:b/>
          <w:i/>
        </w:rPr>
        <w:t>How to use this template: complete one row per Annex A control</w:t>
      </w:r>
    </w:p>
    <w:p>
      <w:pPr>
        <w:spacing w:after="120"/>
        <w:ind w:left="360"/>
      </w:pPr>
      <w:r>
        <w:rPr>
          <w:b w:val="0"/>
          <w:i/>
        </w:rPr>
        <w:t>(93 total). "Applied" = control implemented (reference the implementing</w:t>
      </w:r>
    </w:p>
    <w:p>
      <w:pPr>
        <w:spacing w:after="120"/>
        <w:ind w:left="360"/>
      </w:pPr>
      <w:r>
        <w:rPr>
          <w:b w:val="0"/>
          <w:i/>
        </w:rPr>
        <w:t>document). "Not Applied" = justified exclusion referencing the risk</w:t>
      </w:r>
    </w:p>
    <w:p>
      <w:pPr>
        <w:spacing w:after="120"/>
        <w:ind w:left="360"/>
      </w:pPr>
      <w:r>
        <w:rPr>
          <w:b w:val="0"/>
          <w:i/>
        </w:rPr>
        <w:t>assessment result. Keep this document current — it is the first thing</w:t>
      </w:r>
    </w:p>
    <w:p>
      <w:pPr>
        <w:spacing w:after="120"/>
        <w:ind w:left="360"/>
      </w:pPr>
      <w:r>
        <w:rPr>
          <w:b w:val="0"/>
          <w:i/>
        </w:rPr>
        <w:t>the auditor asks for.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CONTROL APPLICABILITY MATRIX</w:t>
      </w: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Organizational Controls (A.5.1–A.5.37)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Control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Title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Applied?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Justification / Implementing Document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Risk Reference</w:t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A.5.1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Policies for information security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[ISP-001; policy framework]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 xml:space="preserve">R-2026-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A.5.2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Information security roles and responsibilities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A.5.3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Segregation of duties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A.5.4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Management responsibilities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A.5.5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Contact with authorities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A.5.6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Contact with special interest groups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A.5.7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Threat intelligence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A.5.8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Information security in project management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A.5.9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Inventory of information and other associated assets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[Asset Inventory]</w:t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A.5.10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Acceptable use of information and other associated assets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A.5.11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Return of assets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A.5.12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Classification of information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A.5.13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Labelling of information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A.5.14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Information transfer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A.5.15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Access control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[Access Control Policy]</w:t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A.5.16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Identity management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A.5.17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Authentication information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A.5.18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Access rights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A.5.19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Information security in supplier relationships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[Supplier Security Assessment]</w:t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A.5.20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Addressing information security within supplier agreements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A.5.21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Managing information security in the ICT supply chain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A.5.22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Monitoring, review and change management of supplier services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A.5.23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Information security for use of cloud services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A.5.24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Planning and preparation of information security incident management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[Incident Response Plan]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A.5.25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Assessment and decision on information security events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A.5.26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Response to information security incidents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A.5.27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Learning from information security incidents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A.5.28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Collection of evidence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A.5.29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Information security during disruption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[Business Continuity Policy]</w:t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A.5.30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ICT readiness for business continuity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A.5.31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Legal, statutory, regulatory and contractual requirements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[Compliance register]</w:t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A.5.32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Intellectual property rights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A.5.33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Protection of records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A.5.34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Privacy and protection of PII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[ROPA, DPIA]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A.5.35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Independent review of information security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[Internal Audit Procedure]</w:t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A.5.36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Compliance with policies, rules and standards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A.5.37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Documented operating procedures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People Controls (A.6.1–A.6.8)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Control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Title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Applied?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Justification / Implementing Document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Risk Reference</w:t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A.6.1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Screening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[HR policy]</w:t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A.6.2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Terms and conditions of employment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A.6.3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Information security awareness, education and training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[Awareness program]</w:t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A.6.4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Disciplinary process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A.6.5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Responsibilities after termination or change of employment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A.6.6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Confidentiality or non-disclosure agreements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A.6.7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Remote working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A.6.8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Information security event reporting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Physical Controls (A.7.1–A.7.14)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Control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Title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Applied?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Justification / Implementing Document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Risk Reference</w:t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A.7.1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Physical security perimeters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[Facilities policy]</w:t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A.7.2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Physical entry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A.7.3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Securing offices, rooms and facilities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A.7.4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Physical security monitoring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A.7.5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Protecting against physical and environmental threats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A.7.6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Working in secure areas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A.7.7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Clear desk and clear screen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A.7.8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Equipment siting and protection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A.7.9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Security of assets off-premises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A.7.10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Storage media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A.7.11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Supporting utilities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A.7.12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Cabling security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A.7.13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Equipment maintenance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A.7.14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Secure disposal or re-use of equipment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Technological Controls (A.8.1–A.8.34)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Control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Title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Applied?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Justification / Implementing Document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Risk Reference</w:t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A.8.1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User endpoint devices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A.8.2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Privileged access rights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[PAM policy]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A.8.3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Information access restriction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A.8.4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Access to source code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[Secure software development]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A.8.5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Secure authentication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A.8.6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Capacity management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A.8.7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Protection against malware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A.8.8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Management of technical vulnerabilities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A.8.9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Configuration management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A.8.10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Information deletion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[Retention Policy]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A.8.11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Data masking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A.8.12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Data leakage prevention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A.8.13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Information backup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A.8.14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Redundancy of information processing facilities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A.8.15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Logging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A.8.16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Monitoring activities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A.8.17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Clock synchronization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A.8.18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Use of privileged utility programs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A.8.19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Installation of software on operational systems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A.8.20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Networks security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[Network Security Policy]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A.8.21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Security of network services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A.8.22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Segregation of networks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A.8.23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Web filtering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A.8.24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Use of cryptography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[Cryptography Policy]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A.8.25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Secure development life cycle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[SDLC policy]</w:t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A.8.26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Application security requirements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A.8.27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Secure system architecture and engineering principles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A.8.28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Secure coding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A.8.29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Security testing in development and acceptance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A.8.30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Outsourced development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A.8.31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Separation of development, test and production environments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A.8.32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Change management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A.8.33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Test information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A.8.34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Protection of information systems during audit testing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Theme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Controls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Applied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Not Applied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Justification Completeness</w:t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Organizational (A.5.x)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37</w:t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[All exclusions reference risk assessment]</w:t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People (A.6.x)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Physical (A.7.x)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Technological (A.8.x)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34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Total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93</w:t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SOA UPDATE TRIGGERS</w:t>
      </w:r>
    </w:p>
    <w:p>
      <w:pPr>
        <w:spacing w:after="80" w:before="0"/>
      </w:pPr>
      <w:r>
        <w:rPr>
          <w:b w:val="0"/>
          <w:i w:val="0"/>
          <w:sz w:val="21"/>
        </w:rPr>
        <w:t>The SoA is reviewed and updated when (Clause 6.1.3(d)):</w:t>
      </w:r>
    </w:p>
    <w:p>
      <w:pPr>
        <w:spacing w:after="40"/>
        <w:ind w:left="432"/>
      </w:pPr>
      <w:r>
        <w:rPr>
          <w:b w:val="0"/>
          <w:i w:val="0"/>
        </w:rPr>
        <w:t>1. New risks are identified</w:t>
      </w:r>
    </w:p>
    <w:p>
      <w:pPr>
        <w:spacing w:after="40"/>
        <w:ind w:left="432"/>
      </w:pPr>
      <w:r>
        <w:rPr>
          <w:b w:val="0"/>
          <w:i w:val="0"/>
        </w:rPr>
        <w:t>2. Scope changes</w:t>
      </w:r>
    </w:p>
    <w:p>
      <w:pPr>
        <w:spacing w:after="40"/>
        <w:ind w:left="432"/>
      </w:pPr>
      <w:r>
        <w:rPr>
          <w:b w:val="0"/>
          <w:i w:val="0"/>
        </w:rPr>
        <w:t>3. Controls are implemented</w:t>
      </w:r>
    </w:p>
    <w:p>
      <w:pPr>
        <w:spacing w:after="40"/>
        <w:ind w:left="432"/>
      </w:pPr>
      <w:r>
        <w:rPr>
          <w:b w:val="0"/>
          <w:i w:val="0"/>
        </w:rPr>
        <w:t>4. Regulations change</w:t>
      </w:r>
    </w:p>
    <w:p>
      <w:pPr>
        <w:spacing w:after="40"/>
        <w:ind w:left="432"/>
      </w:pPr>
      <w:r>
        <w:rPr>
          <w:b w:val="0"/>
          <w:i w:val="0"/>
        </w:rPr>
        <w:t>5. Risk treatment outcomes change (control replaced/downgraded/compensating)</w:t>
      </w:r>
    </w:p>
    <w:p>
      <w:pPr>
        <w:spacing w:after="40"/>
        <w:ind w:left="432"/>
      </w:pPr>
      <w:r>
        <w:rPr>
          <w:b w:val="0"/>
          <w:i w:val="0"/>
        </w:rPr>
        <w:t>6. Risk assessment methodology or criteria are revised</w:t>
      </w:r>
    </w:p>
    <w:p>
      <w:pPr>
        <w:spacing w:after="40"/>
        <w:ind w:left="432"/>
      </w:pPr>
      <w:r>
        <w:rPr>
          <w:b w:val="0"/>
          <w:i w:val="0"/>
        </w:rPr>
        <w:t>7. Annual review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ISMS Manager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Management Review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</w:t>
      </w:r>
    </w:p>
    <w:p>
      <w:pPr>
        <w:spacing w:after="80" w:before="0"/>
      </w:pPr>
      <w:r>
        <w:rPr>
          <w:b w:val="0"/>
          <w:i w:val="0"/>
          <w:sz w:val="21"/>
        </w:rPr>
        <w:t>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