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OT ASSET INVENTORY (IEC 62443 / PURDUE)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-OT-INV-001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fldChar w:fldCharType="begin"/>
              <w:fldPr>
                <w:ffData>
                  <w:ffName w:val="OT Security Lead"/>
                  <w:ffName w:val="Plant Manager"/>
                </w:ffData>
              </w:fldPr>
              <w:instrText xml:space="preserve"> FORMDROPDOWN </w:instrText>
              <w:fldChar w:fldCharType="separate"/>
              <w:t>OT Security Lead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fldChar w:fldCharType="begin"/>
              <w:fldPr>
                <w:ffData>
                  <w:ffName w:val="CISO"/>
                  <w:ffName w:val="Operations Director"/>
                </w:ffData>
              </w:fldPr>
              <w:instrText xml:space="preserve"> FORMDROPDOWN </w:instrText>
              <w:fldChar w:fldCharType="separate"/>
              <w:t>CISO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Quarterly (or on change)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Next Review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Internal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Asset inventory for operational technology (OT), organized by</w:t>
      </w:r>
    </w:p>
    <w:p>
      <w:pPr>
        <w:spacing w:after="120"/>
        <w:ind w:left="360"/>
      </w:pPr>
      <w:r>
        <w:rPr>
          <w:b w:val="0"/>
          <w:i/>
        </w:rPr>
        <w:t>Purdue model level and IEC 62443 zone/conduit. It is the baseline for</w:t>
      </w:r>
    </w:p>
    <w:p>
      <w:pPr>
        <w:spacing w:after="120"/>
        <w:ind w:left="360"/>
      </w:pPr>
      <w:r>
        <w:rPr>
          <w:b w:val="0"/>
          <w:i/>
        </w:rPr>
        <w:t>patch management (IEC 62443-2-1), vulnerability management, zoning</w:t>
      </w:r>
    </w:p>
    <w:p>
      <w:pPr>
        <w:spacing w:after="120"/>
        <w:ind w:left="360"/>
      </w:pPr>
      <w:r>
        <w:rPr>
          <w:b w:val="0"/>
          <w:i/>
        </w:rPr>
        <w:t>(IEC 62443-3-2), and OT risk assessment. Maintained by the OT security</w:t>
      </w:r>
    </w:p>
    <w:p>
      <w:pPr>
        <w:spacing w:after="120"/>
        <w:ind w:left="360"/>
      </w:pPr>
      <w:r>
        <w:rPr>
          <w:b w:val="0"/>
          <w:i/>
        </w:rPr>
        <w:t xml:space="preserve">team; verified against the network by </w:t>
      </w:r>
      <w:r>
        <w:rPr>
          <w:b w:val="0"/>
          <w:i/>
        </w:rPr>
        <w:t xml:space="preserve">asset discovery tool: </w:t>
      </w:r>
      <w:r>
        <w:rPr>
          <w:i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/>
        </w:rPr>
        <w:t>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ASSET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8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Asset ID</w:t>
            </w:r>
          </w:p>
        </w:tc>
        <w:tc>
          <w:tcPr>
            <w:tcW w:type="dxa" w:w="8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Device Type</w:t>
            </w:r>
          </w:p>
        </w:tc>
        <w:tc>
          <w:tcPr>
            <w:tcW w:type="dxa" w:w="8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Manufacturer / Model</w:t>
            </w:r>
          </w:p>
        </w:tc>
        <w:tc>
          <w:tcPr>
            <w:tcW w:type="dxa" w:w="8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Firmware Version</w:t>
            </w:r>
          </w:p>
        </w:tc>
        <w:tc>
          <w:tcPr>
            <w:tcW w:type="dxa" w:w="8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Purdue Level</w:t>
            </w:r>
          </w:p>
        </w:tc>
        <w:tc>
          <w:tcPr>
            <w:tcW w:type="dxa" w:w="8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Zone</w:t>
            </w:r>
          </w:p>
        </w:tc>
        <w:tc>
          <w:tcPr>
            <w:tcW w:type="dxa" w:w="8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Conduit</w:t>
            </w:r>
          </w:p>
        </w:tc>
        <w:tc>
          <w:tcPr>
            <w:tcW w:type="dxa" w:w="8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Function</w:t>
            </w:r>
          </w:p>
        </w:tc>
        <w:tc>
          <w:tcPr>
            <w:tcW w:type="dxa" w:w="8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Criticality</w:t>
            </w:r>
          </w:p>
        </w:tc>
        <w:tc>
          <w:tcPr>
            <w:tcW w:type="dxa" w:w="8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Patch Status</w:t>
            </w:r>
          </w:p>
        </w:tc>
        <w:tc>
          <w:tcPr>
            <w:tcW w:type="dxa" w:w="8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EOL / EOS</w:t>
            </w:r>
          </w:p>
        </w:tc>
        <w:tc>
          <w:tcPr>
            <w:tcW w:type="dxa" w:w="8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800"/>
          </w:tcPr>
          <w:p>
            <w:r/>
            <w:r>
              <w:rPr>
                <w:b w:val="0"/>
                <w:i w:val="0"/>
              </w:rPr>
              <w:t>[OT-XXX]</w:t>
            </w:r>
          </w:p>
        </w:tc>
        <w:tc>
          <w:tcPr>
            <w:tcW w:type="dxa" w:w="800"/>
          </w:tcPr>
          <w:p>
            <w:r/>
            <w:r>
              <w:fldChar w:fldCharType="begin"/>
              <w:fldPr>
                <w:ffData>
                  <w:ffName w:val="PLC"/>
                  <w:ffName w:val="HMI"/>
                  <w:ffName w:val="RTU"/>
                  <w:ffName w:val="Historian"/>
                  <w:ffName w:val="Server"/>
                  <w:ffName w:val="Switch"/>
                </w:ffData>
              </w:fldPr>
              <w:instrText xml:space="preserve"> FORMDROPDOWN </w:instrText>
              <w:fldChar w:fldCharType="separate"/>
              <w:t>PLC</w:t>
              <w:fldChar w:fldCharType="end"/>
            </w:r>
          </w:p>
        </w:tc>
        <w:tc>
          <w:tcPr>
            <w:tcW w:type="dxa" w:w="8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8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800"/>
          </w:tcPr>
          <w:p>
            <w:r/>
            <w:r>
              <w:rPr>
                <w:b w:val="0"/>
                <w:i w:val="0"/>
              </w:rPr>
              <w:t>[L0-L4]</w:t>
            </w:r>
          </w:p>
        </w:tc>
        <w:tc>
          <w:tcPr>
            <w:tcW w:type="dxa" w:w="800"/>
          </w:tcPr>
          <w:p>
            <w:r/>
            <w:r>
              <w:rPr>
                <w:b w:val="0"/>
                <w:i w:val="0"/>
              </w:rPr>
              <w:t>[Zone 01]</w:t>
            </w:r>
          </w:p>
        </w:tc>
        <w:tc>
          <w:tcPr>
            <w:tcW w:type="dxa" w:w="800"/>
          </w:tcPr>
          <w:p>
            <w:r/>
            <w:r>
              <w:rPr>
                <w:b w:val="0"/>
                <w:i w:val="0"/>
              </w:rPr>
              <w:t>[C-01]</w:t>
            </w:r>
          </w:p>
        </w:tc>
        <w:tc>
          <w:tcPr>
            <w:tcW w:type="dxa" w:w="8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800"/>
          </w:tcPr>
          <w:p>
            <w:r/>
            <w:r>
              <w:fldChar w:fldCharType="begin"/>
              <w:fldPr>
                <w:ffData>
                  <w:ffName w:val="Critical"/>
                  <w:ffName w:val="High"/>
                  <w:ffName w:val="Medium"/>
                  <w:ffName w:val="Low"/>
                </w:ffData>
              </w:fldPr>
              <w:instrText xml:space="preserve"> FORMDROPDOWN </w:instrText>
              <w:fldChar w:fldCharType="separate"/>
              <w:t>Critical</w:t>
              <w:fldChar w:fldCharType="end"/>
            </w:r>
          </w:p>
        </w:tc>
        <w:tc>
          <w:tcPr>
            <w:tcW w:type="dxa" w:w="800"/>
          </w:tcPr>
          <w:p>
            <w:r/>
            <w:r>
              <w:fldChar w:fldCharType="begin"/>
              <w:fldPr>
                <w:ffData>
                  <w:ffName w:val="SP1"/>
                  <w:ffName w:val="SP2"/>
                  <w:ffName w:val="SP3"/>
                  <w:ffName w:val="SP4"/>
                  <w:ffName w:val="EOL"/>
                </w:ffData>
              </w:fldPr>
              <w:instrText xml:space="preserve"> FORMDROPDOWN </w:instrText>
              <w:fldChar w:fldCharType="separate"/>
              <w:t>SP1</w:t>
              <w:fldChar w:fldCharType="end"/>
            </w:r>
          </w:p>
        </w:tc>
        <w:tc>
          <w:tcPr>
            <w:tcW w:type="dxa" w:w="8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8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800"/>
            <w:shd w:val="clear" w:color="auto" w:fill="EAF0F8"/>
          </w:tcPr>
          <w:p>
            <w:r/>
            <w:r>
              <w:rPr>
                <w:b w:val="0"/>
                <w:i w:val="0"/>
              </w:rPr>
              <w:t>[OT-XXX]</w:t>
            </w:r>
          </w:p>
        </w:tc>
        <w:tc>
          <w:tcPr>
            <w:tcW w:type="dxa" w:w="8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8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8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8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8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8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8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8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8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8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8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ZONE AND CONDUIT CONVENTIONS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Purdue Level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Typical Assets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L0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Process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Sensors, actuators, field devices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L1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Basic Control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PLCs, RTUs, DCS controllers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L2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Area Supervisory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HMIs, SCADA servers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L3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Site Operations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Historians, asset management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L3.5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Industrial DMZ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Jump hosts, proxies, patching servers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L4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Enterprise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ERP, business systems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Zones group assets with shared security requirements; conduits are the</w:t>
      </w:r>
    </w:p>
    <w:p>
      <w:pPr>
        <w:spacing w:after="80" w:before="0"/>
      </w:pPr>
      <w:r>
        <w:rPr>
          <w:b w:val="0"/>
          <w:i w:val="0"/>
          <w:sz w:val="21"/>
        </w:rPr>
        <w:t>communication paths between zones. Every asset is assigned one zone and</w:t>
      </w:r>
    </w:p>
    <w:p>
      <w:pPr>
        <w:spacing w:after="80" w:before="0"/>
      </w:pPr>
      <w:r>
        <w:rPr>
          <w:b w:val="0"/>
          <w:i w:val="0"/>
          <w:sz w:val="21"/>
        </w:rPr>
        <w:t>one or more conduits in accordance with IEC 62443-3-2.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ASSET ID CONVENTION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Prefix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Device Type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[PLC-]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[Programmable Logic Controller]</w:t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[HMI-]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[Human-Machine Interface]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[RTU-]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[Remote Terminal Unit]</w:t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[SRV-]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Server"/>
                  <w:ffName w:val="Historian"/>
                </w:ffData>
              </w:fldPr>
              <w:instrText xml:space="preserve"> FORMDROPDOWN </w:instrText>
              <w:fldChar w:fldCharType="separate"/>
              <w:t>Server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[NET-]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[Network device]</w:t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PATCH AND SUPPORT STATUS CONVENTIONS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SP1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Critical / internet-facing — patch immediately</w:t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SP2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High risk — patch within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  <w:r>
              <w:rPr>
                <w:b w:val="0"/>
                <w:i w:val="0"/>
              </w:rPr>
              <w:t xml:space="preserve"> days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SP3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Medium risk — patch within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  <w:r>
              <w:rPr>
                <w:b w:val="0"/>
                <w:i w:val="0"/>
              </w:rPr>
              <w:t xml:space="preserve"> days</w:t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SP4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Low risk — patch within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  <w:r>
              <w:rPr>
                <w:b w:val="0"/>
                <w:i w:val="0"/>
              </w:rPr>
              <w:t xml:space="preserve"> days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EOL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End-of-life — mitigation in place: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after="120"/>
        <w:ind w:left="360"/>
      </w:pPr>
      <w:r>
        <w:rPr>
          <w:b/>
          <w:i/>
        </w:rPr>
        <w:t>How to use this template: One row per asset, including virtualized</w:t>
      </w:r>
    </w:p>
    <w:p>
      <w:pPr>
        <w:spacing w:after="120"/>
        <w:ind w:left="360"/>
      </w:pPr>
      <w:r>
        <w:rPr>
          <w:b w:val="0"/>
          <w:i/>
        </w:rPr>
        <w:t>and network infrastructure. Confirm firmware and patch status at each</w:t>
      </w:r>
    </w:p>
    <w:p>
      <w:pPr>
        <w:spacing w:after="120"/>
        <w:ind w:left="360"/>
      </w:pPr>
      <w:r>
        <w:rPr>
          <w:b w:val="0"/>
          <w:i/>
        </w:rPr>
        <w:t>maintenance window. Assets at EOL/EOS require a documented mitigation or</w:t>
      </w:r>
    </w:p>
    <w:p>
      <w:pPr>
        <w:spacing w:after="120"/>
        <w:ind w:left="360"/>
      </w:pPr>
      <w:r>
        <w:rPr>
          <w:b w:val="0"/>
          <w:i/>
        </w:rPr>
        <w:t>replacement plan before the next risk assessment.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OT Security Lead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Plant / Operations Manager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CISO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 for release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 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