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Georgia" w:hAnsi="Georgia"/>
          <w:b/>
          <w:color w:val="1F3A5F"/>
          <w:sz w:val="40"/>
        </w:rPr>
        <w:t>AI PROVIDER / DEPLOYER RACI MATRIX</w:t>
      </w:r>
    </w:p>
    <w:tbl>
      <w:tblPr>
        <w:tblW w:type="auto" w:w="0"/>
        <w:jc w:val="center"/>
        <w:tblLook w:firstColumn="1" w:firstRow="1" w:lastColumn="0" w:lastRow="0" w:noHBand="0" w:noVBand="1" w:val="04A0"/>
        <w:tblBorders>
          <w:top w:val="single" w:sz="4" w:space="0" w:color="B8C4D8"/>
          <w:left w:val="single" w:sz="4" w:space="0" w:color="B8C4D8"/>
          <w:bottom w:val="single" w:sz="4" w:space="0" w:color="B8C4D8"/>
          <w:right w:val="single" w:sz="4" w:space="0" w:color="B8C4D8"/>
          <w:insideH w:val="single" w:sz="4" w:space="0" w:color="B8C4D8"/>
          <w:insideV w:val="single" w:sz="4" w:space="0" w:color="B8C4D8"/>
        </w:tblBorders>
      </w:tblPr>
      <w:tblGrid>
        <w:gridCol w:w="4802"/>
        <w:gridCol w:w="4802"/>
      </w:tblGrid>
      <w:tr>
        <w:tc>
          <w:tcPr>
            <w:tcW w:type="dxa" w:w="2448"/>
            <w:shd w:val="clear" w:color="auto" w:fill="1F3A5F"/>
          </w:tcPr>
          <w:p>
            <w:r>
              <w:rPr>
                <w:b/>
                <w:color w:val="FFFFFF"/>
                <w:sz w:val="20"/>
              </w:rPr>
              <w:t>Field</w:t>
            </w:r>
          </w:p>
        </w:tc>
        <w:tc>
          <w:tcPr>
            <w:tcW w:type="dxa" w:w="6912"/>
            <w:shd w:val="clear" w:color="auto" w:fill="1F3A5F"/>
          </w:tcPr>
          <w:p>
            <w:r>
              <w:rPr>
                <w:b/>
                <w:color w:val="FFFFFF"/>
                <w:sz w:val="20"/>
              </w:rPr>
              <w:t>Details</w:t>
            </w:r>
          </w:p>
        </w:tc>
      </w:tr>
      <w:tr>
        <w:tc>
          <w:tcPr>
            <w:tcW w:type="dxa" w:w="2448"/>
          </w:tcPr>
          <w:p>
            <w:r>
              <w:rPr>
                <w:b/>
                <w:sz w:val="20"/>
              </w:rPr>
              <w:t>Document ID</w:t>
            </w:r>
          </w:p>
        </w:tc>
        <w:tc>
          <w:tcPr>
            <w:tcW w:type="dxa" w:w="6912"/>
          </w:tcPr>
          <w:p>
            <w:r>
              <w:rPr>
                <w:b w:val="0"/>
                <w:i w:val="0"/>
              </w:rPr>
              <w:t>[ORG]</w:t>
            </w:r>
            <w:r>
              <w:rPr>
                <w:b w:val="0"/>
                <w:i w:val="0"/>
              </w:rPr>
              <w:t>-AIRA-001</w:t>
            </w:r>
          </w:p>
        </w:tc>
      </w:tr>
      <w:tr>
        <w:tc>
          <w:tcPr>
            <w:tcW w:type="dxa" w:w="2448"/>
            <w:shd w:val="clear" w:color="auto" w:fill="EAF0F8"/>
          </w:tcPr>
          <w:p>
            <w:r>
              <w:rPr>
                <w:b/>
                <w:sz w:val="20"/>
              </w:rPr>
              <w:t>Version</w:t>
            </w:r>
          </w:p>
        </w:tc>
        <w:tc>
          <w:tcPr>
            <w:tcW w:type="dxa" w:w="6912"/>
            <w:shd w:val="clear" w:color="auto" w:fill="EAF0F8"/>
          </w:tcPr>
          <w:p>
            <w:r>
              <w:rPr>
                <w:b w:val="0"/>
                <w:i w:val="0"/>
              </w:rPr>
              <w:t>1.0</w:t>
            </w:r>
          </w:p>
        </w:tc>
      </w:tr>
      <w:tr>
        <w:tc>
          <w:tcPr>
            <w:tcW w:type="dxa" w:w="2448"/>
          </w:tcPr>
          <w:p>
            <w:r>
              <w:rPr>
                <w:b/>
                <w:sz w:val="20"/>
              </w:rPr>
              <w:t>Owner</w:t>
            </w:r>
          </w:p>
        </w:tc>
        <w:tc>
          <w:tcPr>
            <w:tcW w:type="dxa" w:w="6912"/>
          </w:tcPr>
          <w:p>
            <w:r>
              <w:rPr>
                <w:b w:val="0"/>
                <w:i w:val="0"/>
              </w:rPr>
              <w:t>Head of AI Governance / CISO</w:t>
            </w:r>
          </w:p>
        </w:tc>
      </w:tr>
      <w:tr>
        <w:tc>
          <w:tcPr>
            <w:tcW w:type="dxa" w:w="2448"/>
            <w:shd w:val="clear" w:color="auto" w:fill="EAF0F8"/>
          </w:tcPr>
          <w:p>
            <w:r>
              <w:rPr>
                <w:b/>
                <w:sz w:val="20"/>
              </w:rPr>
              <w:t>Approved By</w:t>
            </w:r>
          </w:p>
        </w:tc>
        <w:tc>
          <w:tcPr>
            <w:tcW w:type="dxa" w:w="6912"/>
            <w:shd w:val="clear" w:color="auto" w:fill="EAF0F8"/>
          </w:tcPr>
          <w:p>
            <w:r>
              <w:rPr>
                <w:b w:val="0"/>
                <w:i w:val="0"/>
              </w:rPr>
              <w:t>AI Governance Board</w:t>
            </w:r>
          </w:p>
        </w:tc>
      </w:tr>
      <w:tr>
        <w:tc>
          <w:tcPr>
            <w:tcW w:type="dxa" w:w="2448"/>
          </w:tcPr>
          <w:p>
            <w:r>
              <w:rPr>
                <w:b/>
                <w:sz w:val="20"/>
              </w:rPr>
              <w:t>Effective Date</w:t>
            </w:r>
          </w:p>
        </w:tc>
        <w:tc>
          <w:tcPr>
            <w:tcW w:type="dxa" w:w="6912"/>
          </w:tcPr>
          <w:p>
            <w:r>
              <w:rPr>
                <w:u/>
              </w:rPr>
              <w:fldChar w:fldCharType="begin"/>
              <w:instrText xml:space="preserve"> FORMTEXT </w:instrText>
              <w:fldChar w:fldCharType="separate"/>
              <w:t>                             </w:t>
              <w:fldChar w:fldCharType="end"/>
            </w:r>
          </w:p>
        </w:tc>
      </w:tr>
      <w:tr>
        <w:tc>
          <w:tcPr>
            <w:tcW w:type="dxa" w:w="2448"/>
            <w:shd w:val="clear" w:color="auto" w:fill="EAF0F8"/>
          </w:tcPr>
          <w:p>
            <w:r>
              <w:rPr>
                <w:b/>
                <w:sz w:val="20"/>
              </w:rPr>
              <w:t>Review Cycle</w:t>
            </w:r>
          </w:p>
        </w:tc>
        <w:tc>
          <w:tcPr>
            <w:tcW w:type="dxa" w:w="6912"/>
            <w:shd w:val="clear" w:color="auto" w:fill="EAF0F8"/>
          </w:tcPr>
          <w:p>
            <w:r>
              <w:rPr>
                <w:b w:val="0"/>
                <w:i w:val="0"/>
              </w:rPr>
              <w:t>Annual, or when AI Act obligations change</w:t>
            </w:r>
          </w:p>
        </w:tc>
      </w:tr>
      <w:tr>
        <w:tc>
          <w:tcPr>
            <w:tcW w:type="dxa" w:w="2448"/>
          </w:tcPr>
          <w:p>
            <w:r>
              <w:rPr>
                <w:b/>
                <w:sz w:val="20"/>
              </w:rPr>
              <w:t>Related</w:t>
            </w:r>
          </w:p>
        </w:tc>
        <w:tc>
          <w:tcPr>
            <w:tcW w:type="dxa" w:w="6912"/>
          </w:tcPr>
          <w:p>
            <w:r>
              <w:rPr>
                <w:b w:val="0"/>
                <w:i w:val="0"/>
              </w:rPr>
              <w:t>AI Governance Register, AI System Cards</w:t>
            </w:r>
          </w:p>
        </w:tc>
      </w:tr>
    </w:tbl>
    <w:p>
      <w:pPr>
        <w:spacing w:after="120"/>
        <w:ind w:left="360"/>
      </w:pPr>
      <w:r>
        <w:rPr>
          <w:b/>
          <w:i/>
        </w:rPr>
        <w:t>Purpose: This matrix assigns responsibility for the EU AI Act obligations that apply to the Organization as AI provider, deployer, or both. It closes the gaps that arise when teams assume "someone else" owns a compliance obligation.</w:t>
      </w:r>
    </w:p>
    <w:p>
      <w:pPr>
        <w:spacing w:after="120"/>
        <w:ind w:left="360"/>
      </w:pPr>
      <w:r>
        <w:rPr>
          <w:b/>
          <w:i/>
        </w:rPr>
        <w:t>How to use this template: R = Responsible (does the work), A = Accountable (answers for it), C = Consulted (input required), I = Informed (kept in the loop). Every obligation has exactly one A. Tailor rows to your role — a pure deployer has no provider obligations.</w:t>
      </w:r>
    </w:p>
    <w:p>
      <w:pPr>
        <w:spacing w:before="160" w:after="120"/>
      </w:pPr>
      <w:r>
        <w:rPr>
          <w:rFonts w:ascii="Georgia" w:hAnsi="Georgia"/>
          <w:b/>
          <w:color w:val="1F3A5F"/>
          <w:sz w:val="28"/>
        </w:rPr>
        <w:t>1. RACI MATRIX</w:t>
      </w:r>
    </w:p>
    <w:tbl>
      <w:tblPr>
        <w:tblW w:type="auto" w:w="0"/>
        <w:jc w:val="center"/>
        <w:tblLook w:firstColumn="1" w:firstRow="1" w:lastColumn="0" w:lastRow="0" w:noHBand="0" w:noVBand="1" w:val="04A0"/>
        <w:tblBorders>
          <w:top w:val="single" w:sz="4" w:space="0" w:color="B8C4D8"/>
          <w:left w:val="single" w:sz="4" w:space="0" w:color="B8C4D8"/>
          <w:bottom w:val="single" w:sz="4" w:space="0" w:color="B8C4D8"/>
          <w:right w:val="single" w:sz="4" w:space="0" w:color="B8C4D8"/>
          <w:insideH w:val="single" w:sz="4" w:space="0" w:color="B8C4D8"/>
          <w:insideV w:val="single" w:sz="4" w:space="0" w:color="B8C4D8"/>
        </w:tblBorders>
      </w:tblPr>
      <w:tblGrid>
        <w:gridCol w:w="1601"/>
        <w:gridCol w:w="1601"/>
        <w:gridCol w:w="1601"/>
        <w:gridCol w:w="1601"/>
        <w:gridCol w:w="1601"/>
        <w:gridCol w:w="1601"/>
      </w:tblGrid>
      <w:tr>
        <w:tc>
          <w:tcPr>
            <w:tcW w:type="dxa" w:w="1601"/>
            <w:shd w:val="clear" w:color="auto" w:fill="1F3A5F"/>
          </w:tcPr>
          <w:p>
            <w:r>
              <w:rPr>
                <w:b/>
                <w:color w:val="FFFFFF"/>
                <w:sz w:val="19"/>
              </w:rPr>
            </w:r>
            <w:r>
              <w:rPr>
                <w:b/>
                <w:i w:val="0"/>
                <w:color w:val="FFFFFF"/>
                <w:sz w:val="19"/>
              </w:rPr>
              <w:t>Obligation (EU AI Act reference)</w:t>
            </w:r>
          </w:p>
        </w:tc>
        <w:tc>
          <w:tcPr>
            <w:tcW w:type="dxa" w:w="1601"/>
            <w:shd w:val="clear" w:color="auto" w:fill="1F3A5F"/>
          </w:tcPr>
          <w:p>
            <w:r>
              <w:rPr>
                <w:b/>
                <w:color w:val="FFFFFF"/>
                <w:sz w:val="19"/>
              </w:rPr>
            </w:r>
            <w:r>
              <w:rPr>
                <w:b/>
                <w:i w:val="0"/>
                <w:color w:val="FFFFFF"/>
                <w:sz w:val="19"/>
              </w:rPr>
              <w:t>AI Provider</w:t>
            </w:r>
          </w:p>
        </w:tc>
        <w:tc>
          <w:tcPr>
            <w:tcW w:type="dxa" w:w="1601"/>
            <w:shd w:val="clear" w:color="auto" w:fill="1F3A5F"/>
          </w:tcPr>
          <w:p>
            <w:r>
              <w:rPr>
                <w:b/>
                <w:color w:val="FFFFFF"/>
                <w:sz w:val="19"/>
              </w:rPr>
            </w:r>
            <w:r>
              <w:rPr>
                <w:b/>
                <w:i w:val="0"/>
                <w:color w:val="FFFFFF"/>
                <w:sz w:val="19"/>
              </w:rPr>
              <w:t>AI Deployer</w:t>
            </w:r>
          </w:p>
        </w:tc>
        <w:tc>
          <w:tcPr>
            <w:tcW w:type="dxa" w:w="1601"/>
            <w:shd w:val="clear" w:color="auto" w:fill="1F3A5F"/>
          </w:tcPr>
          <w:p>
            <w:r>
              <w:rPr>
                <w:b/>
                <w:color w:val="FFFFFF"/>
                <w:sz w:val="19"/>
              </w:rPr>
            </w:r>
            <w:r>
              <w:rPr>
                <w:b/>
                <w:i w:val="0"/>
                <w:color w:val="FFFFFF"/>
                <w:sz w:val="19"/>
              </w:rPr>
              <w:t>Data Owner</w:t>
            </w:r>
          </w:p>
        </w:tc>
        <w:tc>
          <w:tcPr>
            <w:tcW w:type="dxa" w:w="1601"/>
            <w:shd w:val="clear" w:color="auto" w:fill="1F3A5F"/>
          </w:tcPr>
          <w:p>
            <w:r>
              <w:rPr>
                <w:b/>
                <w:color w:val="FFFFFF"/>
                <w:sz w:val="19"/>
              </w:rPr>
            </w:r>
            <w:r>
              <w:rPr>
                <w:b/>
                <w:i w:val="0"/>
                <w:color w:val="FFFFFF"/>
                <w:sz w:val="19"/>
              </w:rPr>
              <w:t>CISO / GRC</w:t>
            </w:r>
          </w:p>
        </w:tc>
        <w:tc>
          <w:tcPr>
            <w:tcW w:type="dxa" w:w="1601"/>
            <w:shd w:val="clear" w:color="auto" w:fill="1F3A5F"/>
          </w:tcPr>
          <w:p>
            <w:r>
              <w:rPr>
                <w:b/>
                <w:color w:val="FFFFFF"/>
                <w:sz w:val="19"/>
              </w:rPr>
            </w:r>
            <w:r>
              <w:rPr>
                <w:b/>
                <w:i w:val="0"/>
                <w:color w:val="FFFFFF"/>
                <w:sz w:val="19"/>
              </w:rPr>
              <w:t>Legal</w:t>
            </w:r>
          </w:p>
        </w:tc>
      </w:tr>
      <w:tr>
        <w:tc>
          <w:tcPr>
            <w:tcW w:type="dxa" w:w="1601"/>
          </w:tcPr>
          <w:p>
            <w:r/>
            <w:r>
              <w:rPr>
                <w:b w:val="0"/>
                <w:i w:val="0"/>
              </w:rPr>
              <w:t>Risk classification (Art. 6, 7)</w:t>
            </w:r>
          </w:p>
        </w:tc>
        <w:tc>
          <w:tcPr>
            <w:tcW w:type="dxa" w:w="1601"/>
          </w:tcPr>
          <w:p>
            <w:r/>
            <w:r>
              <w:rPr>
                <w:b w:val="0"/>
                <w:i w:val="0"/>
              </w:rPr>
              <w:t>A</w:t>
            </w:r>
          </w:p>
        </w:tc>
        <w:tc>
          <w:tcPr>
            <w:tcW w:type="dxa" w:w="1601"/>
          </w:tcPr>
          <w:p>
            <w:r/>
            <w:r>
              <w:rPr>
                <w:b w:val="0"/>
                <w:i w:val="0"/>
              </w:rPr>
              <w:t>C</w:t>
            </w:r>
          </w:p>
        </w:tc>
        <w:tc>
          <w:tcPr>
            <w:tcW w:type="dxa" w:w="1601"/>
          </w:tcPr>
          <w:p>
            <w:r/>
            <w:r>
              <w:rPr>
                <w:b w:val="0"/>
                <w:i w:val="0"/>
              </w:rPr>
              <w:t>C</w:t>
            </w:r>
          </w:p>
        </w:tc>
        <w:tc>
          <w:tcPr>
            <w:tcW w:type="dxa" w:w="1601"/>
          </w:tcPr>
          <w:p>
            <w:r/>
            <w:r>
              <w:rPr>
                <w:b w:val="0"/>
                <w:i w:val="0"/>
              </w:rPr>
              <w:t>R</w:t>
            </w:r>
          </w:p>
        </w:tc>
        <w:tc>
          <w:tcPr>
            <w:tcW w:type="dxa" w:w="1601"/>
          </w:tcPr>
          <w:p>
            <w:r/>
            <w:r>
              <w:rPr>
                <w:b w:val="0"/>
                <w:i w:val="0"/>
              </w:rPr>
              <w:t>C</w:t>
            </w:r>
          </w:p>
        </w:tc>
      </w:tr>
      <w:tr>
        <w:tc>
          <w:tcPr>
            <w:tcW w:type="dxa" w:w="1601"/>
            <w:shd w:val="clear" w:color="auto" w:fill="EAF0F8"/>
          </w:tcPr>
          <w:p>
            <w:r/>
            <w:r>
              <w:rPr>
                <w:b w:val="0"/>
                <w:i w:val="0"/>
              </w:rPr>
              <w:t>Risk management system (Art. 9)</w:t>
            </w:r>
          </w:p>
        </w:tc>
        <w:tc>
          <w:tcPr>
            <w:tcW w:type="dxa" w:w="1601"/>
            <w:shd w:val="clear" w:color="auto" w:fill="EAF0F8"/>
          </w:tcPr>
          <w:p>
            <w:r/>
            <w:r>
              <w:rPr>
                <w:b w:val="0"/>
                <w:i w:val="0"/>
              </w:rPr>
              <w:t>A</w:t>
            </w:r>
          </w:p>
        </w:tc>
        <w:tc>
          <w:tcPr>
            <w:tcW w:type="dxa" w:w="1601"/>
            <w:shd w:val="clear" w:color="auto" w:fill="EAF0F8"/>
          </w:tcPr>
          <w:p>
            <w:r/>
            <w:r>
              <w:rPr>
                <w:b w:val="0"/>
                <w:i w:val="0"/>
              </w:rPr>
              <w:t>C</w:t>
            </w:r>
          </w:p>
        </w:tc>
        <w:tc>
          <w:tcPr>
            <w:tcW w:type="dxa" w:w="1601"/>
            <w:shd w:val="clear" w:color="auto" w:fill="EAF0F8"/>
          </w:tcPr>
          <w:p>
            <w:r/>
            <w:r>
              <w:rPr>
                <w:b w:val="0"/>
                <w:i w:val="0"/>
              </w:rPr>
              <w:t>C</w:t>
            </w:r>
          </w:p>
        </w:tc>
        <w:tc>
          <w:tcPr>
            <w:tcW w:type="dxa" w:w="1601"/>
            <w:shd w:val="clear" w:color="auto" w:fill="EAF0F8"/>
          </w:tcPr>
          <w:p>
            <w:r/>
            <w:r>
              <w:rPr>
                <w:b w:val="0"/>
                <w:i w:val="0"/>
              </w:rPr>
              <w:t>R</w:t>
            </w:r>
          </w:p>
        </w:tc>
        <w:tc>
          <w:tcPr>
            <w:tcW w:type="dxa" w:w="1601"/>
            <w:shd w:val="clear" w:color="auto" w:fill="EAF0F8"/>
          </w:tcPr>
          <w:p>
            <w:r/>
            <w:r>
              <w:rPr>
                <w:b w:val="0"/>
                <w:i w:val="0"/>
              </w:rPr>
              <w:t>I</w:t>
            </w:r>
          </w:p>
        </w:tc>
      </w:tr>
      <w:tr>
        <w:tc>
          <w:tcPr>
            <w:tcW w:type="dxa" w:w="1601"/>
          </w:tcPr>
          <w:p>
            <w:r/>
            <w:r>
              <w:rPr>
                <w:b w:val="0"/>
                <w:i w:val="0"/>
              </w:rPr>
              <w:t>Data governance (Art. 10)</w:t>
            </w:r>
          </w:p>
        </w:tc>
        <w:tc>
          <w:tcPr>
            <w:tcW w:type="dxa" w:w="1601"/>
          </w:tcPr>
          <w:p>
            <w:r/>
            <w:r>
              <w:rPr>
                <w:b w:val="0"/>
                <w:i w:val="0"/>
              </w:rPr>
              <w:t>R</w:t>
            </w:r>
          </w:p>
        </w:tc>
        <w:tc>
          <w:tcPr>
            <w:tcW w:type="dxa" w:w="1601"/>
          </w:tcPr>
          <w:p>
            <w:r/>
            <w:r>
              <w:rPr>
                <w:b w:val="0"/>
                <w:i w:val="0"/>
              </w:rPr>
              <w:t>C</w:t>
            </w:r>
          </w:p>
        </w:tc>
        <w:tc>
          <w:tcPr>
            <w:tcW w:type="dxa" w:w="1601"/>
          </w:tcPr>
          <w:p>
            <w:r/>
            <w:r>
              <w:rPr>
                <w:b w:val="0"/>
                <w:i w:val="0"/>
              </w:rPr>
              <w:t>A</w:t>
            </w:r>
          </w:p>
        </w:tc>
        <w:tc>
          <w:tcPr>
            <w:tcW w:type="dxa" w:w="1601"/>
          </w:tcPr>
          <w:p>
            <w:r/>
            <w:r>
              <w:rPr>
                <w:b w:val="0"/>
                <w:i w:val="0"/>
              </w:rPr>
              <w:t>C</w:t>
            </w:r>
          </w:p>
        </w:tc>
        <w:tc>
          <w:tcPr>
            <w:tcW w:type="dxa" w:w="1601"/>
          </w:tcPr>
          <w:p>
            <w:r/>
            <w:r>
              <w:rPr>
                <w:b w:val="0"/>
                <w:i w:val="0"/>
              </w:rPr>
              <w:t>I</w:t>
            </w:r>
          </w:p>
        </w:tc>
      </w:tr>
      <w:tr>
        <w:tc>
          <w:tcPr>
            <w:tcW w:type="dxa" w:w="1601"/>
            <w:shd w:val="clear" w:color="auto" w:fill="EAF0F8"/>
          </w:tcPr>
          <w:p>
            <w:r/>
            <w:r>
              <w:rPr>
                <w:b w:val="0"/>
                <w:i w:val="0"/>
              </w:rPr>
              <w:t>Technical documentation (Art. 11)</w:t>
            </w:r>
          </w:p>
        </w:tc>
        <w:tc>
          <w:tcPr>
            <w:tcW w:type="dxa" w:w="1601"/>
            <w:shd w:val="clear" w:color="auto" w:fill="EAF0F8"/>
          </w:tcPr>
          <w:p>
            <w:r/>
            <w:r>
              <w:rPr>
                <w:b w:val="0"/>
                <w:i w:val="0"/>
              </w:rPr>
              <w:t>A</w:t>
            </w:r>
          </w:p>
        </w:tc>
        <w:tc>
          <w:tcPr>
            <w:tcW w:type="dxa" w:w="1601"/>
            <w:shd w:val="clear" w:color="auto" w:fill="EAF0F8"/>
          </w:tcPr>
          <w:p>
            <w:r/>
            <w:r>
              <w:rPr>
                <w:b w:val="0"/>
                <w:i w:val="0"/>
              </w:rPr>
              <w:t>I</w:t>
            </w:r>
          </w:p>
        </w:tc>
        <w:tc>
          <w:tcPr>
            <w:tcW w:type="dxa" w:w="1601"/>
            <w:shd w:val="clear" w:color="auto" w:fill="EAF0F8"/>
          </w:tcPr>
          <w:p>
            <w:r/>
            <w:r>
              <w:rPr>
                <w:b w:val="0"/>
                <w:i w:val="0"/>
              </w:rPr>
              <w:t>C</w:t>
            </w:r>
          </w:p>
        </w:tc>
        <w:tc>
          <w:tcPr>
            <w:tcW w:type="dxa" w:w="1601"/>
            <w:shd w:val="clear" w:color="auto" w:fill="EAF0F8"/>
          </w:tcPr>
          <w:p>
            <w:r/>
            <w:r>
              <w:rPr>
                <w:b w:val="0"/>
                <w:i w:val="0"/>
              </w:rPr>
              <w:t>C</w:t>
            </w:r>
          </w:p>
        </w:tc>
        <w:tc>
          <w:tcPr>
            <w:tcW w:type="dxa" w:w="1601"/>
            <w:shd w:val="clear" w:color="auto" w:fill="EAF0F8"/>
          </w:tcPr>
          <w:p>
            <w:r/>
            <w:r>
              <w:rPr>
                <w:b w:val="0"/>
                <w:i w:val="0"/>
              </w:rPr>
              <w:t>C</w:t>
            </w:r>
          </w:p>
        </w:tc>
      </w:tr>
      <w:tr>
        <w:tc>
          <w:tcPr>
            <w:tcW w:type="dxa" w:w="1601"/>
          </w:tcPr>
          <w:p>
            <w:r/>
            <w:r>
              <w:rPr>
                <w:b w:val="0"/>
                <w:i w:val="0"/>
              </w:rPr>
              <w:t>Logging (Art. 12)</w:t>
            </w:r>
          </w:p>
        </w:tc>
        <w:tc>
          <w:tcPr>
            <w:tcW w:type="dxa" w:w="1601"/>
          </w:tcPr>
          <w:p>
            <w:r/>
            <w:r>
              <w:rPr>
                <w:b w:val="0"/>
                <w:i w:val="0"/>
              </w:rPr>
              <w:t>R</w:t>
            </w:r>
          </w:p>
        </w:tc>
        <w:tc>
          <w:tcPr>
            <w:tcW w:type="dxa" w:w="1601"/>
          </w:tcPr>
          <w:p>
            <w:r/>
            <w:r>
              <w:rPr>
                <w:b w:val="0"/>
                <w:i w:val="0"/>
              </w:rPr>
              <w:t>A</w:t>
            </w:r>
          </w:p>
        </w:tc>
        <w:tc>
          <w:tcPr>
            <w:tcW w:type="dxa" w:w="1601"/>
          </w:tcPr>
          <w:p>
            <w:r/>
            <w:r>
              <w:rPr>
                <w:b w:val="0"/>
                <w:i w:val="0"/>
              </w:rPr>
              <w:t>I</w:t>
            </w:r>
          </w:p>
        </w:tc>
        <w:tc>
          <w:tcPr>
            <w:tcW w:type="dxa" w:w="1601"/>
          </w:tcPr>
          <w:p>
            <w:r/>
            <w:r>
              <w:rPr>
                <w:b w:val="0"/>
                <w:i w:val="0"/>
              </w:rPr>
              <w:t>C</w:t>
            </w:r>
          </w:p>
        </w:tc>
        <w:tc>
          <w:tcPr>
            <w:tcW w:type="dxa" w:w="1601"/>
          </w:tcPr>
          <w:p>
            <w:r/>
            <w:r>
              <w:rPr>
                <w:b w:val="0"/>
                <w:i w:val="0"/>
              </w:rPr>
              <w:t>I</w:t>
            </w:r>
          </w:p>
        </w:tc>
      </w:tr>
      <w:tr>
        <w:tc>
          <w:tcPr>
            <w:tcW w:type="dxa" w:w="1601"/>
            <w:shd w:val="clear" w:color="auto" w:fill="EAF0F8"/>
          </w:tcPr>
          <w:p>
            <w:r/>
            <w:r>
              <w:rPr>
                <w:b w:val="0"/>
                <w:i w:val="0"/>
              </w:rPr>
              <w:t>Transparency (Art. 13, 50)</w:t>
            </w:r>
          </w:p>
        </w:tc>
        <w:tc>
          <w:tcPr>
            <w:tcW w:type="dxa" w:w="1601"/>
            <w:shd w:val="clear" w:color="auto" w:fill="EAF0F8"/>
          </w:tcPr>
          <w:p>
            <w:r/>
            <w:r>
              <w:rPr>
                <w:b w:val="0"/>
                <w:i w:val="0"/>
              </w:rPr>
              <w:t>A</w:t>
            </w:r>
          </w:p>
        </w:tc>
        <w:tc>
          <w:tcPr>
            <w:tcW w:type="dxa" w:w="1601"/>
            <w:shd w:val="clear" w:color="auto" w:fill="EAF0F8"/>
          </w:tcPr>
          <w:p>
            <w:r/>
            <w:r>
              <w:rPr>
                <w:b w:val="0"/>
                <w:i w:val="0"/>
              </w:rPr>
              <w:t>R</w:t>
            </w:r>
          </w:p>
        </w:tc>
        <w:tc>
          <w:tcPr>
            <w:tcW w:type="dxa" w:w="1601"/>
            <w:shd w:val="clear" w:color="auto" w:fill="EAF0F8"/>
          </w:tcPr>
          <w:p>
            <w:r/>
            <w:r>
              <w:rPr>
                <w:b w:val="0"/>
                <w:i w:val="0"/>
              </w:rPr>
              <w:t>I</w:t>
            </w:r>
          </w:p>
        </w:tc>
        <w:tc>
          <w:tcPr>
            <w:tcW w:type="dxa" w:w="1601"/>
            <w:shd w:val="clear" w:color="auto" w:fill="EAF0F8"/>
          </w:tcPr>
          <w:p>
            <w:r/>
            <w:r>
              <w:rPr>
                <w:b w:val="0"/>
                <w:i w:val="0"/>
              </w:rPr>
              <w:t>C</w:t>
            </w:r>
          </w:p>
        </w:tc>
        <w:tc>
          <w:tcPr>
            <w:tcW w:type="dxa" w:w="1601"/>
            <w:shd w:val="clear" w:color="auto" w:fill="EAF0F8"/>
          </w:tcPr>
          <w:p>
            <w:r/>
            <w:r>
              <w:rPr>
                <w:b w:val="0"/>
                <w:i w:val="0"/>
              </w:rPr>
              <w:t>C</w:t>
            </w:r>
          </w:p>
        </w:tc>
      </w:tr>
      <w:tr>
        <w:tc>
          <w:tcPr>
            <w:tcW w:type="dxa" w:w="1601"/>
          </w:tcPr>
          <w:p>
            <w:r/>
            <w:r>
              <w:rPr>
                <w:b w:val="0"/>
                <w:i w:val="0"/>
              </w:rPr>
              <w:t>Human oversight (Art. 14)</w:t>
            </w:r>
          </w:p>
        </w:tc>
        <w:tc>
          <w:tcPr>
            <w:tcW w:type="dxa" w:w="1601"/>
          </w:tcPr>
          <w:p>
            <w:r/>
            <w:r>
              <w:rPr>
                <w:b w:val="0"/>
                <w:i w:val="0"/>
              </w:rPr>
              <w:t>R</w:t>
            </w:r>
          </w:p>
        </w:tc>
        <w:tc>
          <w:tcPr>
            <w:tcW w:type="dxa" w:w="1601"/>
          </w:tcPr>
          <w:p>
            <w:r/>
            <w:r>
              <w:rPr>
                <w:b w:val="0"/>
                <w:i w:val="0"/>
              </w:rPr>
              <w:t>A</w:t>
            </w:r>
          </w:p>
        </w:tc>
        <w:tc>
          <w:tcPr>
            <w:tcW w:type="dxa" w:w="1601"/>
          </w:tcPr>
          <w:p>
            <w:r/>
            <w:r>
              <w:rPr>
                <w:b w:val="0"/>
                <w:i w:val="0"/>
              </w:rPr>
              <w:t>I</w:t>
            </w:r>
          </w:p>
        </w:tc>
        <w:tc>
          <w:tcPr>
            <w:tcW w:type="dxa" w:w="1601"/>
          </w:tcPr>
          <w:p>
            <w:r/>
            <w:r>
              <w:rPr>
                <w:b w:val="0"/>
                <w:i w:val="0"/>
              </w:rPr>
              <w:t>C</w:t>
            </w:r>
          </w:p>
        </w:tc>
        <w:tc>
          <w:tcPr>
            <w:tcW w:type="dxa" w:w="1601"/>
          </w:tcPr>
          <w:p>
            <w:r/>
            <w:r>
              <w:rPr>
                <w:b w:val="0"/>
                <w:i w:val="0"/>
              </w:rPr>
              <w:t>I</w:t>
            </w:r>
          </w:p>
        </w:tc>
      </w:tr>
      <w:tr>
        <w:tc>
          <w:tcPr>
            <w:tcW w:type="dxa" w:w="1601"/>
            <w:shd w:val="clear" w:color="auto" w:fill="EAF0F8"/>
          </w:tcPr>
          <w:p>
            <w:r/>
            <w:r>
              <w:rPr>
                <w:b w:val="0"/>
                <w:i w:val="0"/>
              </w:rPr>
              <w:t>Accuracy / robustness / cybersecurity (Art. 15)</w:t>
            </w:r>
          </w:p>
        </w:tc>
        <w:tc>
          <w:tcPr>
            <w:tcW w:type="dxa" w:w="1601"/>
            <w:shd w:val="clear" w:color="auto" w:fill="EAF0F8"/>
          </w:tcPr>
          <w:p>
            <w:r/>
            <w:r>
              <w:rPr>
                <w:b w:val="0"/>
                <w:i w:val="0"/>
              </w:rPr>
              <w:t>A</w:t>
            </w:r>
          </w:p>
        </w:tc>
        <w:tc>
          <w:tcPr>
            <w:tcW w:type="dxa" w:w="1601"/>
            <w:shd w:val="clear" w:color="auto" w:fill="EAF0F8"/>
          </w:tcPr>
          <w:p>
            <w:r/>
            <w:r>
              <w:rPr>
                <w:b w:val="0"/>
                <w:i w:val="0"/>
              </w:rPr>
              <w:t>C</w:t>
            </w:r>
          </w:p>
        </w:tc>
        <w:tc>
          <w:tcPr>
            <w:tcW w:type="dxa" w:w="1601"/>
            <w:shd w:val="clear" w:color="auto" w:fill="EAF0F8"/>
          </w:tcPr>
          <w:p>
            <w:r/>
            <w:r>
              <w:rPr>
                <w:b w:val="0"/>
                <w:i w:val="0"/>
              </w:rPr>
              <w:t>C</w:t>
            </w:r>
          </w:p>
        </w:tc>
        <w:tc>
          <w:tcPr>
            <w:tcW w:type="dxa" w:w="1601"/>
            <w:shd w:val="clear" w:color="auto" w:fill="EAF0F8"/>
          </w:tcPr>
          <w:p>
            <w:r/>
            <w:r>
              <w:rPr>
                <w:b w:val="0"/>
                <w:i w:val="0"/>
              </w:rPr>
              <w:t>R</w:t>
            </w:r>
          </w:p>
        </w:tc>
        <w:tc>
          <w:tcPr>
            <w:tcW w:type="dxa" w:w="1601"/>
            <w:shd w:val="clear" w:color="auto" w:fill="EAF0F8"/>
          </w:tcPr>
          <w:p>
            <w:r/>
            <w:r>
              <w:rPr>
                <w:b w:val="0"/>
                <w:i w:val="0"/>
              </w:rPr>
              <w:t>I</w:t>
            </w:r>
          </w:p>
        </w:tc>
      </w:tr>
      <w:tr>
        <w:tc>
          <w:tcPr>
            <w:tcW w:type="dxa" w:w="1601"/>
          </w:tcPr>
          <w:p>
            <w:r/>
            <w:r>
              <w:rPr>
                <w:b w:val="0"/>
                <w:i w:val="0"/>
              </w:rPr>
              <w:t>Conformity assessment (Art. 43)</w:t>
            </w:r>
          </w:p>
        </w:tc>
        <w:tc>
          <w:tcPr>
            <w:tcW w:type="dxa" w:w="1601"/>
          </w:tcPr>
          <w:p>
            <w:r/>
            <w:r>
              <w:rPr>
                <w:b w:val="0"/>
                <w:i w:val="0"/>
              </w:rPr>
              <w:t>A</w:t>
            </w:r>
          </w:p>
        </w:tc>
        <w:tc>
          <w:tcPr>
            <w:tcW w:type="dxa" w:w="1601"/>
          </w:tcPr>
          <w:p>
            <w:r/>
            <w:r>
              <w:rPr>
                <w:b w:val="0"/>
                <w:i w:val="0"/>
              </w:rPr>
              <w:t>I</w:t>
            </w:r>
          </w:p>
        </w:tc>
        <w:tc>
          <w:tcPr>
            <w:tcW w:type="dxa" w:w="1601"/>
          </w:tcPr>
          <w:p>
            <w:r/>
            <w:r>
              <w:rPr>
                <w:b w:val="0"/>
                <w:i w:val="0"/>
              </w:rPr>
              <w:t>I</w:t>
            </w:r>
          </w:p>
        </w:tc>
        <w:tc>
          <w:tcPr>
            <w:tcW w:type="dxa" w:w="1601"/>
          </w:tcPr>
          <w:p>
            <w:r/>
            <w:r>
              <w:rPr>
                <w:b w:val="0"/>
                <w:i w:val="0"/>
              </w:rPr>
              <w:t>R</w:t>
            </w:r>
          </w:p>
        </w:tc>
        <w:tc>
          <w:tcPr>
            <w:tcW w:type="dxa" w:w="1601"/>
          </w:tcPr>
          <w:p>
            <w:r/>
            <w:r>
              <w:rPr>
                <w:b w:val="0"/>
                <w:i w:val="0"/>
              </w:rPr>
              <w:t>C</w:t>
            </w:r>
          </w:p>
        </w:tc>
      </w:tr>
      <w:tr>
        <w:tc>
          <w:tcPr>
            <w:tcW w:type="dxa" w:w="1601"/>
            <w:shd w:val="clear" w:color="auto" w:fill="EAF0F8"/>
          </w:tcPr>
          <w:p>
            <w:r/>
            <w:r>
              <w:rPr>
                <w:b w:val="0"/>
                <w:i w:val="0"/>
              </w:rPr>
              <w:t>Registration in EU database (Art. 49)</w:t>
            </w:r>
          </w:p>
        </w:tc>
        <w:tc>
          <w:tcPr>
            <w:tcW w:type="dxa" w:w="1601"/>
            <w:shd w:val="clear" w:color="auto" w:fill="EAF0F8"/>
          </w:tcPr>
          <w:p>
            <w:r/>
            <w:r>
              <w:rPr>
                <w:b w:val="0"/>
                <w:i w:val="0"/>
              </w:rPr>
              <w:t>A</w:t>
            </w:r>
          </w:p>
        </w:tc>
        <w:tc>
          <w:tcPr>
            <w:tcW w:type="dxa" w:w="1601"/>
            <w:shd w:val="clear" w:color="auto" w:fill="EAF0F8"/>
          </w:tcPr>
          <w:p>
            <w:r/>
            <w:r>
              <w:rPr>
                <w:b w:val="0"/>
                <w:i w:val="0"/>
              </w:rPr>
              <w:t>C</w:t>
            </w:r>
          </w:p>
        </w:tc>
        <w:tc>
          <w:tcPr>
            <w:tcW w:type="dxa" w:w="1601"/>
            <w:shd w:val="clear" w:color="auto" w:fill="EAF0F8"/>
          </w:tcPr>
          <w:p>
            <w:r/>
            <w:r>
              <w:rPr>
                <w:b w:val="0"/>
                <w:i w:val="0"/>
              </w:rPr>
              <w:t>I</w:t>
            </w:r>
          </w:p>
        </w:tc>
        <w:tc>
          <w:tcPr>
            <w:tcW w:type="dxa" w:w="1601"/>
            <w:shd w:val="clear" w:color="auto" w:fill="EAF0F8"/>
          </w:tcPr>
          <w:p>
            <w:r/>
            <w:r>
              <w:rPr>
                <w:b w:val="0"/>
                <w:i w:val="0"/>
              </w:rPr>
              <w:t>R</w:t>
            </w:r>
          </w:p>
        </w:tc>
        <w:tc>
          <w:tcPr>
            <w:tcW w:type="dxa" w:w="1601"/>
            <w:shd w:val="clear" w:color="auto" w:fill="EAF0F8"/>
          </w:tcPr>
          <w:p>
            <w:r/>
            <w:r>
              <w:rPr>
                <w:b w:val="0"/>
                <w:i w:val="0"/>
              </w:rPr>
              <w:t>I</w:t>
            </w:r>
          </w:p>
        </w:tc>
      </w:tr>
      <w:tr>
        <w:tc>
          <w:tcPr>
            <w:tcW w:type="dxa" w:w="1601"/>
          </w:tcPr>
          <w:p>
            <w:r/>
            <w:r>
              <w:rPr>
                <w:b w:val="0"/>
                <w:i w:val="0"/>
              </w:rPr>
              <w:t>Post-market monitoring (Art. 72)</w:t>
            </w:r>
          </w:p>
        </w:tc>
        <w:tc>
          <w:tcPr>
            <w:tcW w:type="dxa" w:w="1601"/>
          </w:tcPr>
          <w:p>
            <w:r/>
            <w:r>
              <w:rPr>
                <w:b w:val="0"/>
                <w:i w:val="0"/>
              </w:rPr>
              <w:t>A</w:t>
            </w:r>
          </w:p>
        </w:tc>
        <w:tc>
          <w:tcPr>
            <w:tcW w:type="dxa" w:w="1601"/>
          </w:tcPr>
          <w:p>
            <w:r/>
            <w:r>
              <w:rPr>
                <w:b w:val="0"/>
                <w:i w:val="0"/>
              </w:rPr>
              <w:t>R</w:t>
            </w:r>
          </w:p>
        </w:tc>
        <w:tc>
          <w:tcPr>
            <w:tcW w:type="dxa" w:w="1601"/>
          </w:tcPr>
          <w:p>
            <w:r/>
            <w:r>
              <w:rPr>
                <w:b w:val="0"/>
                <w:i w:val="0"/>
              </w:rPr>
              <w:t>C</w:t>
            </w:r>
          </w:p>
        </w:tc>
        <w:tc>
          <w:tcPr>
            <w:tcW w:type="dxa" w:w="1601"/>
          </w:tcPr>
          <w:p>
            <w:r/>
            <w:r>
              <w:rPr>
                <w:b w:val="0"/>
                <w:i w:val="0"/>
              </w:rPr>
              <w:t>R</w:t>
            </w:r>
          </w:p>
        </w:tc>
        <w:tc>
          <w:tcPr>
            <w:tcW w:type="dxa" w:w="1601"/>
          </w:tcPr>
          <w:p>
            <w:r/>
            <w:r>
              <w:rPr>
                <w:b w:val="0"/>
                <w:i w:val="0"/>
              </w:rPr>
              <w:t>I</w:t>
            </w:r>
          </w:p>
        </w:tc>
      </w:tr>
      <w:tr>
        <w:tc>
          <w:tcPr>
            <w:tcW w:type="dxa" w:w="1601"/>
            <w:shd w:val="clear" w:color="auto" w:fill="EAF0F8"/>
          </w:tcPr>
          <w:p>
            <w:r/>
            <w:r>
              <w:rPr>
                <w:b w:val="0"/>
                <w:i w:val="0"/>
              </w:rPr>
              <w:t>Incident reporting (Art. 73)</w:t>
            </w:r>
          </w:p>
        </w:tc>
        <w:tc>
          <w:tcPr>
            <w:tcW w:type="dxa" w:w="1601"/>
            <w:shd w:val="clear" w:color="auto" w:fill="EAF0F8"/>
          </w:tcPr>
          <w:p>
            <w:r/>
            <w:r>
              <w:rPr>
                <w:b w:val="0"/>
                <w:i w:val="0"/>
              </w:rPr>
              <w:t>R</w:t>
            </w:r>
          </w:p>
        </w:tc>
        <w:tc>
          <w:tcPr>
            <w:tcW w:type="dxa" w:w="1601"/>
            <w:shd w:val="clear" w:color="auto" w:fill="EAF0F8"/>
          </w:tcPr>
          <w:p>
            <w:r/>
            <w:r>
              <w:rPr>
                <w:b w:val="0"/>
                <w:i w:val="0"/>
              </w:rPr>
              <w:t>R</w:t>
            </w:r>
          </w:p>
        </w:tc>
        <w:tc>
          <w:tcPr>
            <w:tcW w:type="dxa" w:w="1601"/>
            <w:shd w:val="clear" w:color="auto" w:fill="EAF0F8"/>
          </w:tcPr>
          <w:p>
            <w:r/>
            <w:r>
              <w:rPr>
                <w:b w:val="0"/>
                <w:i w:val="0"/>
              </w:rPr>
              <w:t>I</w:t>
            </w:r>
          </w:p>
        </w:tc>
        <w:tc>
          <w:tcPr>
            <w:tcW w:type="dxa" w:w="1601"/>
            <w:shd w:val="clear" w:color="auto" w:fill="EAF0F8"/>
          </w:tcPr>
          <w:p>
            <w:r/>
            <w:r>
              <w:rPr>
                <w:b w:val="0"/>
                <w:i w:val="0"/>
              </w:rPr>
              <w:t>A</w:t>
            </w:r>
          </w:p>
        </w:tc>
        <w:tc>
          <w:tcPr>
            <w:tcW w:type="dxa" w:w="1601"/>
            <w:shd w:val="clear" w:color="auto" w:fill="EAF0F8"/>
          </w:tcPr>
          <w:p>
            <w:r/>
            <w:r>
              <w:rPr>
                <w:b w:val="0"/>
                <w:i w:val="0"/>
              </w:rPr>
              <w:t>C</w:t>
            </w:r>
          </w:p>
        </w:tc>
      </w:tr>
    </w:tbl>
    <w:p>
      <w:pPr>
        <w:spacing w:after="40"/>
      </w:pPr>
    </w:p>
    <w:p>
      <w:pPr>
        <w:spacing w:before="160" w:after="120"/>
      </w:pPr>
      <w:r>
        <w:rPr>
          <w:rFonts w:ascii="Georgia" w:hAnsi="Georgia"/>
          <w:b/>
          <w:color w:val="1F3A5F"/>
          <w:sz w:val="28"/>
        </w:rPr>
        <w:t>2. ROLE DEFINITIONS</w:t>
      </w:r>
    </w:p>
    <w:p>
      <w:pPr>
        <w:spacing w:after="80" w:before="0"/>
      </w:pPr>
      <w:r>
        <w:rPr>
          <w:b w:val="0"/>
          <w:i w:val="0"/>
          <w:sz w:val="21"/>
        </w:rPr>
        <w:t>2.1. **AI Provider:** develops an AI system or has it developed and places it on the market or puts it into service (Art. 3(3)).</w:t>
      </w:r>
    </w:p>
    <w:p>
      <w:pPr>
        <w:spacing w:after="80" w:before="0"/>
      </w:pPr>
      <w:r>
        <w:rPr>
          <w:b w:val="0"/>
          <w:i w:val="0"/>
          <w:sz w:val="21"/>
        </w:rPr>
        <w:t>2.2. **AI Deployer:** uses an AI system in the course of professional activity (Art. 3(4)).</w:t>
      </w:r>
    </w:p>
    <w:p>
      <w:pPr>
        <w:spacing w:after="80" w:before="0"/>
      </w:pPr>
      <w:r>
        <w:rPr>
          <w:b w:val="0"/>
          <w:i w:val="0"/>
          <w:sz w:val="21"/>
        </w:rPr>
        <w:t>2.3. **Data Owner:** accountable for data quality, provenance, and lawful basis of the data the system uses.</w:t>
      </w:r>
    </w:p>
    <w:p>
      <w:pPr>
        <w:spacing w:after="80" w:before="0"/>
      </w:pPr>
      <w:r>
        <w:rPr>
          <w:b w:val="0"/>
          <w:i w:val="0"/>
          <w:sz w:val="21"/>
        </w:rPr>
        <w:t>2.4. **CISO / GRC:** operates governance, risk, and assurance activities; escalates to the AI Governance Board.</w:t>
      </w:r>
    </w:p>
    <w:p>
      <w:pPr>
        <w:spacing w:after="80" w:before="0"/>
      </w:pPr>
      <w:r>
        <w:rPr>
          <w:b w:val="0"/>
          <w:i w:val="0"/>
          <w:sz w:val="21"/>
        </w:rPr>
        <w:t>2.5. **Legal:** interprets obligations and interfaces with supervisory authorities.</w:t>
      </w:r>
    </w:p>
    <w:p>
      <w:pPr>
        <w:spacing w:before="160" w:after="120"/>
      </w:pPr>
      <w:r>
        <w:rPr>
          <w:rFonts w:ascii="Georgia" w:hAnsi="Georgia"/>
          <w:b/>
          <w:color w:val="1F3A5F"/>
          <w:sz w:val="28"/>
        </w:rPr>
        <w:t>3. GOVERNANCE NOTES</w:t>
      </w:r>
    </w:p>
    <w:p>
      <w:pPr>
        <w:spacing w:after="80" w:before="0"/>
      </w:pPr>
      <w:r>
        <w:rPr>
          <w:b w:val="0"/>
          <w:i w:val="0"/>
          <w:sz w:val="21"/>
        </w:rPr>
        <w:t>3.1. Where the Organization is both provider and deployer, provider rows carry the higher duty and deployer rows remain in force.</w:t>
      </w:r>
    </w:p>
    <w:p>
      <w:pPr>
        <w:spacing w:after="80" w:before="0"/>
      </w:pPr>
      <w:r>
        <w:rPr>
          <w:b w:val="0"/>
          <w:i w:val="0"/>
          <w:sz w:val="21"/>
        </w:rPr>
        <w:t>3.2. Third-party providers are contractually obligated to meet their rows (Art. 25); contract reviews confirm alignment. Obligations apply on the EU AI Act timetable: prohibitions Feb 2, 2025; GPAI Aug 2, 2025; Annex III high-risk Aug 2, 2026; Annex I Aug 2, 2027.</w:t>
      </w:r>
    </w:p>
    <w:p>
      <w:pPr>
        <w:spacing w:before="160" w:after="120"/>
      </w:pPr>
      <w:r>
        <w:rPr>
          <w:rFonts w:ascii="Georgia" w:hAnsi="Georgia"/>
          <w:b/>
          <w:color w:val="1F3A5F"/>
          <w:sz w:val="28"/>
        </w:rPr>
        <w:t>APPROVAL</w:t>
      </w:r>
    </w:p>
    <w:tbl>
      <w:tblPr>
        <w:tblW w:type="auto" w:w="0"/>
        <w:jc w:val="center"/>
        <w:tblLook w:firstColumn="1" w:firstRow="1" w:lastColumn="0" w:lastRow="0" w:noHBand="0" w:noVBand="1" w:val="04A0"/>
        <w:tblBorders>
          <w:top w:val="single" w:sz="4" w:space="0" w:color="B8C4D8"/>
          <w:left w:val="single" w:sz="4" w:space="0" w:color="B8C4D8"/>
          <w:bottom w:val="single" w:sz="4" w:space="0" w:color="B8C4D8"/>
          <w:right w:val="single" w:sz="4" w:space="0" w:color="B8C4D8"/>
          <w:insideH w:val="single" w:sz="4" w:space="0" w:color="B8C4D8"/>
          <w:insideV w:val="single" w:sz="4" w:space="0" w:color="B8C4D8"/>
        </w:tblBorders>
      </w:tblPr>
      <w:tblGrid>
        <w:gridCol w:w="2401"/>
        <w:gridCol w:w="2401"/>
        <w:gridCol w:w="2401"/>
        <w:gridCol w:w="2401"/>
      </w:tblGrid>
      <w:tr>
        <w:tc>
          <w:tcPr>
            <w:tcW w:type="dxa" w:w="2401"/>
            <w:shd w:val="clear" w:color="auto" w:fill="1F3A5F"/>
          </w:tcPr>
          <w:p>
            <w:r>
              <w:rPr>
                <w:b/>
                <w:color w:val="FFFFFF"/>
                <w:sz w:val="19"/>
              </w:rPr>
            </w:r>
            <w:r>
              <w:rPr>
                <w:b/>
                <w:i w:val="0"/>
                <w:color w:val="FFFFFF"/>
                <w:sz w:val="19"/>
              </w:rPr>
              <w:t>Role</w:t>
            </w:r>
          </w:p>
        </w:tc>
        <w:tc>
          <w:tcPr>
            <w:tcW w:type="dxa" w:w="2401"/>
            <w:shd w:val="clear" w:color="auto" w:fill="1F3A5F"/>
          </w:tcPr>
          <w:p>
            <w:r>
              <w:rPr>
                <w:b/>
                <w:color w:val="FFFFFF"/>
                <w:sz w:val="19"/>
              </w:rPr>
            </w:r>
            <w:r>
              <w:rPr>
                <w:b/>
                <w:i w:val="0"/>
                <w:color w:val="FFFFFF"/>
                <w:sz w:val="19"/>
              </w:rPr>
              <w:t>Name</w:t>
            </w:r>
          </w:p>
        </w:tc>
        <w:tc>
          <w:tcPr>
            <w:tcW w:type="dxa" w:w="2401"/>
            <w:shd w:val="clear" w:color="auto" w:fill="1F3A5F"/>
          </w:tcPr>
          <w:p>
            <w:r>
              <w:rPr>
                <w:b/>
                <w:color w:val="FFFFFF"/>
                <w:sz w:val="19"/>
              </w:rPr>
            </w:r>
            <w:r>
              <w:rPr>
                <w:b/>
                <w:i w:val="0"/>
                <w:color w:val="FFFFFF"/>
                <w:sz w:val="19"/>
              </w:rPr>
              <w:t>Signature</w:t>
            </w:r>
          </w:p>
        </w:tc>
        <w:tc>
          <w:tcPr>
            <w:tcW w:type="dxa" w:w="2401"/>
            <w:shd w:val="clear" w:color="auto" w:fill="1F3A5F"/>
          </w:tcPr>
          <w:p>
            <w:r>
              <w:rPr>
                <w:b/>
                <w:color w:val="FFFFFF"/>
                <w:sz w:val="19"/>
              </w:rPr>
            </w:r>
            <w:r>
              <w:rPr>
                <w:b/>
                <w:i w:val="0"/>
                <w:color w:val="FFFFFF"/>
                <w:sz w:val="19"/>
              </w:rPr>
              <w:t>Date</w:t>
            </w:r>
          </w:p>
        </w:tc>
      </w:tr>
      <w:tr>
        <w:tc>
          <w:tcPr>
            <w:tcW w:type="dxa" w:w="2401"/>
          </w:tcPr>
          <w:p>
            <w:r/>
            <w:r>
              <w:rPr>
                <w:b w:val="0"/>
                <w:i w:val="0"/>
              </w:rPr>
              <w:t>Head of AI Governance</w:t>
            </w:r>
          </w:p>
        </w:tc>
        <w:tc>
          <w:tcPr>
            <w:tcW w:type="dxa" w:w="2401"/>
          </w:tcPr>
          <w:p>
            <w:r/>
            <w:r>
              <w:rPr>
                <w:u/>
              </w:rPr>
              <w:fldChar w:fldCharType="begin"/>
              <w:instrText xml:space="preserve"> FORMTEXT </w:instrText>
              <w:fldChar w:fldCharType="separate"/>
              <w:t>                             </w:t>
              <w:fldChar w:fldCharType="end"/>
            </w:r>
          </w:p>
        </w:tc>
        <w:tc>
          <w:tcPr>
            <w:tcW w:type="dxa" w:w="2401"/>
          </w:tcPr>
          <w:p>
            <w:r/>
            <w:r>
              <w:rPr>
                <w:u/>
              </w:rPr>
              <w:fldChar w:fldCharType="begin"/>
              <w:instrText xml:space="preserve"> FORMTEXT </w:instrText>
              <w:fldChar w:fldCharType="separate"/>
              <w:t>                             </w:t>
              <w:fldChar w:fldCharType="end"/>
            </w:r>
          </w:p>
        </w:tc>
        <w:tc>
          <w:tcPr>
            <w:tcW w:type="dxa" w:w="2401"/>
          </w:tcPr>
          <w:p>
            <w:r/>
            <w:r>
              <w:rPr>
                <w:u/>
              </w:rPr>
              <w:fldChar w:fldCharType="begin"/>
              <w:instrText xml:space="preserve"> FORMTEXT </w:instrText>
              <w:fldChar w:fldCharType="separate"/>
              <w:t>                             </w:t>
              <w:fldChar w:fldCharType="end"/>
            </w:r>
          </w:p>
        </w:tc>
      </w:tr>
      <w:tr>
        <w:tc>
          <w:tcPr>
            <w:tcW w:type="dxa" w:w="2401"/>
            <w:shd w:val="clear" w:color="auto" w:fill="EAF0F8"/>
          </w:tcPr>
          <w:p>
            <w:r/>
            <w:r>
              <w:rPr>
                <w:b w:val="0"/>
                <w:i w:val="0"/>
              </w:rPr>
              <w:t>AI Governance Board</w:t>
            </w:r>
          </w:p>
        </w:tc>
        <w:tc>
          <w:tcPr>
            <w:tcW w:type="dxa" w:w="2401"/>
            <w:shd w:val="clear" w:color="auto" w:fill="EAF0F8"/>
          </w:tcPr>
          <w:p>
            <w:r/>
            <w:r>
              <w:rPr>
                <w:u/>
              </w:rPr>
              <w:fldChar w:fldCharType="begin"/>
              <w:instrText xml:space="preserve"> FORMTEXT </w:instrText>
              <w:fldChar w:fldCharType="separate"/>
              <w:t>                             </w:t>
              <w:fldChar w:fldCharType="end"/>
            </w:r>
          </w:p>
        </w:tc>
        <w:tc>
          <w:tcPr>
            <w:tcW w:type="dxa" w:w="2401"/>
            <w:shd w:val="clear" w:color="auto" w:fill="EAF0F8"/>
          </w:tcPr>
          <w:p>
            <w:r/>
            <w:r>
              <w:rPr>
                <w:u/>
              </w:rPr>
              <w:fldChar w:fldCharType="begin"/>
              <w:instrText xml:space="preserve"> FORMTEXT </w:instrText>
              <w:fldChar w:fldCharType="separate"/>
              <w:t>                             </w:t>
              <w:fldChar w:fldCharType="end"/>
            </w:r>
          </w:p>
        </w:tc>
        <w:tc>
          <w:tcPr>
            <w:tcW w:type="dxa" w:w="2401"/>
            <w:shd w:val="clear" w:color="auto" w:fill="EAF0F8"/>
          </w:tcPr>
          <w:p>
            <w:r/>
            <w:r>
              <w:rPr>
                <w:u/>
              </w:rPr>
              <w:fldChar w:fldCharType="begin"/>
              <w:instrText xml:space="preserve"> FORMTEXT </w:instrText>
              <w:fldChar w:fldCharType="separate"/>
              <w:t>                             </w:t>
              <w:fldChar w:fldCharType="end"/>
            </w:r>
          </w:p>
        </w:tc>
      </w:tr>
    </w:tbl>
    <w:p>
      <w:pPr>
        <w:spacing w:after="40"/>
      </w:pPr>
    </w:p>
    <w:p>
      <w:pPr>
        <w:spacing w:before="160" w:after="120"/>
      </w:pPr>
      <w:r>
        <w:rPr>
          <w:rFonts w:ascii="Georgia" w:hAnsi="Georgia"/>
          <w:b/>
          <w:color w:val="1F3A5F"/>
          <w:sz w:val="28"/>
        </w:rPr>
        <w:t>DOCUMENT CONTROL</w:t>
      </w:r>
    </w:p>
    <w:tbl>
      <w:tblPr>
        <w:tblW w:type="auto" w:w="0"/>
        <w:jc w:val="center"/>
        <w:tblLook w:firstColumn="1" w:firstRow="1" w:lastColumn="0" w:lastRow="0" w:noHBand="0" w:noVBand="1" w:val="04A0"/>
        <w:tblBorders>
          <w:top w:val="single" w:sz="4" w:space="0" w:color="B8C4D8"/>
          <w:left w:val="single" w:sz="4" w:space="0" w:color="B8C4D8"/>
          <w:bottom w:val="single" w:sz="4" w:space="0" w:color="B8C4D8"/>
          <w:right w:val="single" w:sz="4" w:space="0" w:color="B8C4D8"/>
          <w:insideH w:val="single" w:sz="4" w:space="0" w:color="B8C4D8"/>
          <w:insideV w:val="single" w:sz="4" w:space="0" w:color="B8C4D8"/>
        </w:tblBorders>
      </w:tblPr>
      <w:tblGrid>
        <w:gridCol w:w="2401"/>
        <w:gridCol w:w="2401"/>
        <w:gridCol w:w="2401"/>
        <w:gridCol w:w="2401"/>
      </w:tblGrid>
      <w:tr>
        <w:tc>
          <w:tcPr>
            <w:tcW w:type="dxa" w:w="2401"/>
            <w:shd w:val="clear" w:color="auto" w:fill="1F3A5F"/>
          </w:tcPr>
          <w:p>
            <w:r>
              <w:rPr>
                <w:b/>
                <w:color w:val="FFFFFF"/>
                <w:sz w:val="19"/>
              </w:rPr>
            </w:r>
            <w:r>
              <w:rPr>
                <w:b/>
                <w:i w:val="0"/>
                <w:color w:val="FFFFFF"/>
                <w:sz w:val="19"/>
              </w:rPr>
              <w:t>Version</w:t>
            </w:r>
          </w:p>
        </w:tc>
        <w:tc>
          <w:tcPr>
            <w:tcW w:type="dxa" w:w="2401"/>
            <w:shd w:val="clear" w:color="auto" w:fill="1F3A5F"/>
          </w:tcPr>
          <w:p>
            <w:r>
              <w:rPr>
                <w:b/>
                <w:color w:val="FFFFFF"/>
                <w:sz w:val="19"/>
              </w:rPr>
            </w:r>
            <w:r>
              <w:rPr>
                <w:b/>
                <w:i w:val="0"/>
                <w:color w:val="FFFFFF"/>
                <w:sz w:val="19"/>
              </w:rPr>
              <w:t>Date</w:t>
            </w:r>
          </w:p>
        </w:tc>
        <w:tc>
          <w:tcPr>
            <w:tcW w:type="dxa" w:w="2401"/>
            <w:shd w:val="clear" w:color="auto" w:fill="1F3A5F"/>
          </w:tcPr>
          <w:p>
            <w:r>
              <w:rPr>
                <w:b/>
                <w:color w:val="FFFFFF"/>
                <w:sz w:val="19"/>
              </w:rPr>
            </w:r>
            <w:r>
              <w:rPr>
                <w:b/>
                <w:i w:val="0"/>
                <w:color w:val="FFFFFF"/>
                <w:sz w:val="19"/>
              </w:rPr>
              <w:t>Author</w:t>
            </w:r>
          </w:p>
        </w:tc>
        <w:tc>
          <w:tcPr>
            <w:tcW w:type="dxa" w:w="2401"/>
            <w:shd w:val="clear" w:color="auto" w:fill="1F3A5F"/>
          </w:tcPr>
          <w:p>
            <w:r>
              <w:rPr>
                <w:b/>
                <w:color w:val="FFFFFF"/>
                <w:sz w:val="19"/>
              </w:rPr>
            </w:r>
            <w:r>
              <w:rPr>
                <w:b/>
                <w:i w:val="0"/>
                <w:color w:val="FFFFFF"/>
                <w:sz w:val="19"/>
              </w:rPr>
              <w:t>Change Description</w:t>
            </w:r>
          </w:p>
        </w:tc>
      </w:tr>
      <w:tr>
        <w:tc>
          <w:tcPr>
            <w:tcW w:type="dxa" w:w="2401"/>
          </w:tcPr>
          <w:p>
            <w:r/>
            <w:r>
              <w:rPr>
                <w:b w:val="0"/>
                <w:i w:val="0"/>
              </w:rPr>
              <w:t>0.1</w:t>
            </w:r>
          </w:p>
        </w:tc>
        <w:tc>
          <w:tcPr>
            <w:tcW w:type="dxa" w:w="2401"/>
          </w:tcPr>
          <w:p>
            <w:r/>
            <w:r>
              <w:rPr>
                <w:u/>
              </w:rPr>
              <w:fldChar w:fldCharType="begin"/>
              <w:instrText xml:space="preserve"> FORMTEXT </w:instrText>
              <w:fldChar w:fldCharType="separate"/>
              <w:t>                             </w:t>
              <w:fldChar w:fldCharType="end"/>
            </w:r>
          </w:p>
        </w:tc>
        <w:tc>
          <w:tcPr>
            <w:tcW w:type="dxa" w:w="2401"/>
          </w:tcPr>
          <w:p>
            <w:r/>
            <w:r>
              <w:rPr>
                <w:u/>
              </w:rPr>
              <w:fldChar w:fldCharType="begin"/>
              <w:instrText xml:space="preserve"> FORMTEXT </w:instrText>
              <w:fldChar w:fldCharType="separate"/>
              <w:t>                             </w:t>
              <w:fldChar w:fldCharType="end"/>
            </w:r>
          </w:p>
        </w:tc>
        <w:tc>
          <w:tcPr>
            <w:tcW w:type="dxa" w:w="2401"/>
          </w:tcPr>
          <w:p>
            <w:r/>
            <w:r>
              <w:rPr>
                <w:b w:val="0"/>
                <w:i w:val="0"/>
              </w:rPr>
              <w:t>Initial draft</w:t>
            </w:r>
          </w:p>
        </w:tc>
      </w:tr>
      <w:tr>
        <w:tc>
          <w:tcPr>
            <w:tcW w:type="dxa" w:w="2401"/>
            <w:shd w:val="clear" w:color="auto" w:fill="EAF0F8"/>
          </w:tcPr>
          <w:p>
            <w:r/>
            <w:r>
              <w:rPr>
                <w:b w:val="0"/>
                <w:i w:val="0"/>
              </w:rPr>
              <w:t>1.0</w:t>
            </w:r>
          </w:p>
        </w:tc>
        <w:tc>
          <w:tcPr>
            <w:tcW w:type="dxa" w:w="2401"/>
            <w:shd w:val="clear" w:color="auto" w:fill="EAF0F8"/>
          </w:tcPr>
          <w:p>
            <w:r/>
            <w:r>
              <w:rPr>
                <w:u/>
              </w:rPr>
              <w:fldChar w:fldCharType="begin"/>
              <w:instrText xml:space="preserve"> FORMTEXT </w:instrText>
              <w:fldChar w:fldCharType="separate"/>
              <w:t>                             </w:t>
              <w:fldChar w:fldCharType="end"/>
            </w:r>
          </w:p>
        </w:tc>
        <w:tc>
          <w:tcPr>
            <w:tcW w:type="dxa" w:w="2401"/>
            <w:shd w:val="clear" w:color="auto" w:fill="EAF0F8"/>
          </w:tcPr>
          <w:p>
            <w:r/>
            <w:r>
              <w:rPr>
                <w:u/>
              </w:rPr>
              <w:fldChar w:fldCharType="begin"/>
              <w:instrText xml:space="preserve"> FORMTEXT </w:instrText>
              <w:fldChar w:fldCharType="separate"/>
              <w:t>                             </w:t>
              <w:fldChar w:fldCharType="end"/>
            </w:r>
          </w:p>
        </w:tc>
        <w:tc>
          <w:tcPr>
            <w:tcW w:type="dxa" w:w="2401"/>
            <w:shd w:val="clear" w:color="auto" w:fill="EAF0F8"/>
          </w:tcPr>
          <w:p>
            <w:r/>
            <w:r>
              <w:rPr>
                <w:b w:val="0"/>
                <w:i w:val="0"/>
              </w:rPr>
              <w:t>Approved for use</w:t>
            </w:r>
          </w:p>
        </w:tc>
      </w:tr>
    </w:tbl>
    <w:p>
      <w:pPr>
        <w:spacing w:after="40"/>
      </w:pPr>
    </w:p>
    <w:p>
      <w:pPr>
        <w:spacing w:after="80" w:before="0"/>
      </w:pPr>
      <w:r>
        <w:rPr>
          <w:b w:val="0"/>
          <w:i w:val="0"/>
          <w:sz w:val="21"/>
        </w:rPr>
        <w:t>*Template from "The Governance, Risk and Compliance Architect" (Hendriksen, 2026). Adapt to your organization's context before use.*</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cumentProtection w:edit="forms" w:enforcement="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