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AI SYSTEM CARD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-AISC-001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[System Owner]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AI Governance Board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Annual, or on material change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 xml:space="preserve">AI Governance Register (System ID: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  <w:r>
              <w:rPr>
                <w:b w:val="0"/>
                <w:i w:val="0"/>
              </w:rPr>
              <w:t>), DPIA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The AI System Card is the technical documentation for a single AI system. For high-risk systems it supports the EU AI Act Article 11 technical documentation obligation and the conformity assessment; for all systems it gives reviewers, auditors, and deployers a single source of truth on how the system works and where it fails.</w:t>
      </w:r>
    </w:p>
    <w:p>
      <w:pPr>
        <w:spacing w:after="120"/>
        <w:ind w:left="360"/>
      </w:pPr>
      <w:r>
        <w:rPr>
          <w:b/>
          <w:i/>
        </w:rPr>
        <w:t>How to use this template: Complete one card per AI system before deployment. Keep evidence links live — attach test reports, model cards, and evaluation artifacts rather than summarizing them away.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SYSTEM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System name / version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Vendor / developer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System ID (register)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AI Act risk tier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High"/>
                  <w:ffName w:val="Limited"/>
                  <w:ffName w:val="Minimal"/>
                </w:ffData>
              </w:fldPr>
              <w:instrText xml:space="preserve"> FORMDROPDOWN </w:instrText>
              <w:fldChar w:fldCharType="separate"/>
              <w:t>High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Role in organization</w:t>
            </w:r>
          </w:p>
        </w:tc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Provider"/>
                  <w:ffName w:val="Deployer"/>
                  <w:ffName w:val="Both"/>
                </w:ffData>
              </w:fldPr>
              <w:instrText xml:space="preserve"> FORMDROPDOWN </w:instrText>
              <w:fldChar w:fldCharType="separate"/>
              <w:t>Provider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Operational status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In development"/>
                  <w:ffName w:val="in use"/>
                  <w:ffName w:val="retired"/>
                </w:ffData>
              </w:fldPr>
              <w:instrText xml:space="preserve"> FORMDROPDOWN </w:instrText>
              <w:fldChar w:fldCharType="separate"/>
              <w:t>In development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Deployment type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Cloud / on-premise / edge: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INTENDED PURPOSE</w:t>
      </w:r>
    </w:p>
    <w:p>
      <w:pPr>
        <w:spacing w:after="80" w:before="0"/>
      </w:pPr>
      <w:r>
        <w:rPr>
          <w:b w:val="0"/>
          <w:i w:val="0"/>
          <w:sz w:val="21"/>
        </w:rPr>
        <w:t xml:space="preserve">2.1. **Intended purpose:** </w:t>
      </w:r>
      <w:r>
        <w:rPr>
          <w:b w:val="0"/>
          <w:i w:val="0"/>
          <w:sz w:val="21"/>
        </w:rPr>
        <w:t xml:space="preserve">What the system does, for whom, and in what context: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2.2. **Intended users:**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2.3. **Out of scope / foreseeable misuse:**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2.4. **Expected deployment environments and integration points:**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DATA USED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Training data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Sources, volume, dates: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Validation / test data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Runtime inputs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Sensitive / special category data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Yes / No — which: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Data governance measures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Provenance, quality, minimization: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Labeling / annotation methodology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MODEL ARCHITECTURE AND TRAINING</w:t>
      </w:r>
    </w:p>
    <w:p>
      <w:pPr>
        <w:spacing w:after="80" w:before="0"/>
      </w:pPr>
      <w:r>
        <w:rPr>
          <w:b w:val="0"/>
          <w:i w:val="0"/>
          <w:sz w:val="21"/>
        </w:rPr>
        <w:t xml:space="preserve">4.1. **Model architecture:** </w:t>
      </w:r>
      <w:r>
        <w:rPr>
          <w:b w:val="0"/>
          <w:i w:val="0"/>
          <w:sz w:val="21"/>
        </w:rPr>
        <w:t xml:space="preserve">Model type, parameters, framework: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4.2. **Training process:** </w:t>
      </w:r>
      <w:r>
        <w:rPr>
          <w:b w:val="0"/>
          <w:i w:val="0"/>
          <w:sz w:val="21"/>
        </w:rPr>
        <w:t xml:space="preserve">Training objective, fine-tuning, alignment steps: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4.3. **Versioning and reproducibility:** </w:t>
      </w:r>
      <w:r>
        <w:rPr>
          <w:b w:val="0"/>
          <w:i w:val="0"/>
          <w:sz w:val="21"/>
        </w:rPr>
        <w:t xml:space="preserve">How models and data are versioned: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4.4. **Explainability and interpretability:** [Techniques used to explain outputs, e.g., feature attribution or rationale generation: ______]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VALIDATION AND TESTING</w:t>
      </w:r>
    </w:p>
    <w:p>
      <w:pPr>
        <w:spacing w:after="80" w:before="0"/>
      </w:pPr>
      <w:r>
        <w:rPr>
          <w:b w:val="0"/>
          <w:i w:val="0"/>
          <w:sz w:val="21"/>
        </w:rPr>
        <w:t>5.1. **Evaluation results:**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Accuracy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Precision / Recall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Bias / fairness metric</w:t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Latency / throughput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 xml:space="preserve">Other: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5.2. **Accuracy, robustness, and cybersecurity evidence:** [Red-teaming results, adversarial testing, robustness under distribution shift, security testing per the Cyber Resilience Act where applicable: ______]</w:t>
      </w:r>
    </w:p>
    <w:p>
      <w:pPr>
        <w:spacing w:after="80" w:before="0"/>
      </w:pPr>
      <w:r>
        <w:rPr>
          <w:b w:val="0"/>
          <w:i w:val="0"/>
          <w:sz w:val="21"/>
        </w:rPr>
        <w:t>Evidence is retained with the card and includes model cards, evaluation reports, red-team logs, and penetration test results.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5.3. **External evaluation:** </w:t>
      </w:r>
      <w:r>
        <w:rPr>
          <w:b w:val="0"/>
          <w:i w:val="0"/>
          <w:sz w:val="21"/>
        </w:rPr>
        <w:t xml:space="preserve">Independent testing, certification, or audit results: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HUMAN OVERSIGHT AND LIMITATIONS</w:t>
      </w:r>
    </w:p>
    <w:p>
      <w:pPr>
        <w:spacing w:after="80" w:before="0"/>
      </w:pPr>
      <w:r>
        <w:rPr>
          <w:b w:val="0"/>
          <w:i w:val="0"/>
          <w:sz w:val="21"/>
        </w:rPr>
        <w:t xml:space="preserve">6.1. **Human oversight design:** </w:t>
      </w:r>
      <w:r>
        <w:rPr>
          <w:b w:val="0"/>
          <w:i w:val="0"/>
          <w:sz w:val="21"/>
        </w:rPr>
        <w:t xml:space="preserve">Who reviews outputs, at what frequency, with what override authority: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Oversight controls include automated flags, sampling rates, override procedures, and mandatory human sign-off for high-impact outputs.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6.2. **Known limitations and residual risks:** </w:t>
      </w:r>
      <w:r>
        <w:rPr>
          <w:b w:val="0"/>
          <w:i w:val="0"/>
          <w:sz w:val="21"/>
        </w:rPr>
        <w:t xml:space="preserve">Edge cases, failure modes, conditions where the system must not be used: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Residual risks are recorded in the Risk Register and accepted by the system owner.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6.3. **Incident reporting:** </w:t>
      </w:r>
      <w:r>
        <w:rPr>
          <w:b w:val="0"/>
          <w:i w:val="0"/>
          <w:sz w:val="21"/>
        </w:rPr>
        <w:t xml:space="preserve">How failures are reported, per Article 73 where applicable: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6.4. **Change management:** [Process for approving and documenting updates to the model, retraining triggers, and version rollback: ______]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System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AI Governance Board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use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