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DATA PROTECTION IMPACT ASSESSMENT (DPIA)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-DPIA-001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fldChar w:fldCharType="begin"/>
              <w:fldPr>
                <w:ffData>
                  <w:ffName w:val="Processing"/>
                  <w:ffName w:val="Project Owner"/>
                </w:ffData>
              </w:fldPr>
              <w:instrText xml:space="preserve"> FORMDROPDOWN </w:instrText>
              <w:fldChar w:fldCharType="separate"/>
              <w:t>Processing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Data Protection Officer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Before processing starts; re-assessed on material change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Related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ROPA, AI Governance Register, Risk Assessment Methodology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A DPIA documents the risks to data subjects of a processing operation and how they are mitigated, as required by Article 35 GDPR (in force 2018). DPIAs are mandatory where processing is likely to result in a high risk to individuals — including systematic monitoring, large-scale special category data, and new technologies such as AI systems.</w:t>
      </w:r>
    </w:p>
    <w:p>
      <w:pPr>
        <w:spacing w:after="120"/>
        <w:ind w:left="360"/>
      </w:pPr>
      <w:r>
        <w:rPr>
          <w:b/>
          <w:i/>
        </w:rPr>
        <w:t>How to use this template: Complete the trigger assessment in Section 1 first. If any trigger is met, complete the full DPIA before processing starts. Where residual high risk remains after mitigation, consult the supervisory authority under Article 36 prior to processing.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TRIGGER ASSESSMENT</w:t>
      </w:r>
    </w:p>
    <w:p>
      <w:pPr>
        <w:spacing w:after="80" w:before="0"/>
      </w:pPr>
      <w:r>
        <w:rPr>
          <w:b w:val="0"/>
          <w:i w:val="0"/>
          <w:sz w:val="21"/>
        </w:rPr>
        <w:t>1.1. Complete the screening questions; a "yes" answer indicates a DPIA is required: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Screening Question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Yes / No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Systematic and extensive evaluation or scoring (incl. profiling)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Large-scale processing of special category or criminal data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Systematic monitoring of a publicly accessible area on a large scale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Innovative technology, incl. AI, biometrics, or IoT at scale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Data concerning vulnerable data subjects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Cross-border transfer with no adequacy decision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 xml:space="preserve">1.2. **Conclusion:** DPIA required / not required. </w:t>
      </w:r>
      <w:r>
        <w:rPr>
          <w:b w:val="0"/>
          <w:i w:val="0"/>
          <w:sz w:val="21"/>
        </w:rPr>
        <w:t xml:space="preserve">Justification: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PROCESSING DESCRIPTION</w:t>
      </w:r>
    </w:p>
    <w:p>
      <w:pPr>
        <w:spacing w:after="80" w:before="0"/>
      </w:pPr>
      <w:r>
        <w:rPr>
          <w:b w:val="0"/>
          <w:i w:val="0"/>
          <w:sz w:val="21"/>
        </w:rPr>
        <w:t xml:space="preserve">2.1. **Purpose of processing:**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80" w:before="0"/>
      </w:pPr>
      <w:r>
        <w:rPr>
          <w:b w:val="0"/>
          <w:i w:val="0"/>
          <w:sz w:val="21"/>
        </w:rPr>
        <w:t>2.2. **Nature, scope, context, and means of processing:**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Aspect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Data categories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Data subjects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Volume / scale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Sources of data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Recipients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Retention period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Technology used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 xml:space="preserve">2.3. **AI systems involved:** </w:t>
      </w:r>
      <w:r>
        <w:rPr>
          <w:b w:val="0"/>
          <w:i w:val="0"/>
          <w:sz w:val="21"/>
        </w:rPr>
        <w:t xml:space="preserve">If applicable, reference the AI System Card(s):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NECESSITY AND PROPORTIONALITY</w:t>
      </w:r>
    </w:p>
    <w:p>
      <w:pPr>
        <w:spacing w:after="80" w:before="0"/>
      </w:pPr>
      <w:r>
        <w:rPr>
          <w:b w:val="0"/>
          <w:i w:val="0"/>
          <w:sz w:val="21"/>
        </w:rPr>
        <w:t xml:space="preserve">3.1. **Necessity:** The processing is necessary to achieve </w:t>
      </w:r>
      <w:r>
        <w:rPr>
          <w:b w:val="0"/>
          <w:i w:val="0"/>
          <w:sz w:val="21"/>
        </w:rPr>
        <w:t xml:space="preserve">purpose: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  <w:sz w:val="21"/>
        </w:rPr>
        <w:t xml:space="preserve">; no less intrusive means achieves the same result: </w:t>
      </w:r>
      <w:r>
        <w:rPr>
          <w:b w:val="0"/>
          <w:i w:val="0"/>
          <w:sz w:val="21"/>
        </w:rPr>
        <w:t xml:space="preserve">Yes / No — justification: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80" w:before="0"/>
      </w:pPr>
      <w:r>
        <w:rPr>
          <w:b w:val="0"/>
          <w:i w:val="0"/>
          <w:sz w:val="21"/>
        </w:rPr>
        <w:t>3.2. **Proportionality measures in place:** [Data minimization, pseudonymization, access controls, transparency notices, data subject rights facilitation: ______]</w:t>
      </w:r>
    </w:p>
    <w:p>
      <w:pPr>
        <w:spacing w:after="80" w:before="0"/>
      </w:pPr>
      <w:r>
        <w:rPr>
          <w:b w:val="0"/>
          <w:i w:val="0"/>
          <w:sz w:val="21"/>
        </w:rPr>
        <w:t xml:space="preserve">3.3. **Data subject rights:** The processing does not defeat the rights of data subjects; measures to support access, rectification, erasure, restriction, and portability are: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RISK TO DATA SUBJECTS</w:t>
      </w:r>
    </w:p>
    <w:p>
      <w:pPr>
        <w:spacing w:after="80" w:before="0"/>
      </w:pPr>
      <w:r>
        <w:rPr>
          <w:b w:val="0"/>
          <w:i w:val="0"/>
          <w:sz w:val="21"/>
        </w:rPr>
        <w:t>4.1. Risks are scored as Likelihood x Impact (1–5), consistent with the Risk Assessment Methodology:</w:t>
      </w:r>
    </w:p>
    <w:p>
      <w:pPr>
        <w:spacing w:after="80" w:before="0"/>
      </w:pPr>
      <w:r>
        <w:rPr>
          <w:b w:val="0"/>
          <w:i w:val="0"/>
          <w:sz w:val="21"/>
        </w:rPr>
        <w:t>Scores of 9 or above require mitigation before processing starts; scores of 16 or above require immediate escalation to the DPO and senior management.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137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Risk ID</w:t>
            </w:r>
          </w:p>
        </w:tc>
        <w:tc>
          <w:tcPr>
            <w:tcW w:type="dxa" w:w="137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Risk to Data Subjects</w:t>
            </w:r>
          </w:p>
        </w:tc>
        <w:tc>
          <w:tcPr>
            <w:tcW w:type="dxa" w:w="137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Likelihood</w:t>
            </w:r>
          </w:p>
        </w:tc>
        <w:tc>
          <w:tcPr>
            <w:tcW w:type="dxa" w:w="137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Impact</w:t>
            </w:r>
          </w:p>
        </w:tc>
        <w:tc>
          <w:tcPr>
            <w:tcW w:type="dxa" w:w="137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Score</w:t>
            </w:r>
          </w:p>
        </w:tc>
        <w:tc>
          <w:tcPr>
            <w:tcW w:type="dxa" w:w="137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Mitigation</w:t>
            </w:r>
          </w:p>
        </w:tc>
        <w:tc>
          <w:tcPr>
            <w:tcW w:type="dxa" w:w="137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Residual Score</w:t>
            </w:r>
          </w:p>
        </w:tc>
      </w:tr>
      <w:tr>
        <w:tc>
          <w:tcPr>
            <w:tcW w:type="dxa" w:w="1372"/>
          </w:tcPr>
          <w:p>
            <w:r/>
            <w:r>
              <w:rPr>
                <w:b w:val="0"/>
                <w:i w:val="0"/>
              </w:rPr>
              <w:t>R1</w:t>
            </w:r>
          </w:p>
        </w:tc>
        <w:tc>
          <w:tcPr>
            <w:tcW w:type="dxa" w:w="1372"/>
          </w:tcPr>
          <w:p>
            <w:r/>
            <w:r>
              <w:rPr>
                <w:b w:val="0"/>
                <w:i w:val="0"/>
              </w:rPr>
              <w:t>[e.g., re-identification of pseudonymized data]</w:t>
            </w:r>
          </w:p>
        </w:tc>
        <w:tc>
          <w:tcPr>
            <w:tcW w:type="dxa" w:w="1372"/>
          </w:tcPr>
          <w:p>
            <w:r/>
            <w:r>
              <w:rPr>
                <w:b w:val="0"/>
                <w:i w:val="0"/>
              </w:rPr>
              <w:t>[3]</w:t>
            </w:r>
          </w:p>
        </w:tc>
        <w:tc>
          <w:tcPr>
            <w:tcW w:type="dxa" w:w="1372"/>
          </w:tcPr>
          <w:p>
            <w:r/>
            <w:r>
              <w:rPr>
                <w:b w:val="0"/>
                <w:i w:val="0"/>
              </w:rPr>
              <w:t>[4]</w:t>
            </w:r>
          </w:p>
        </w:tc>
        <w:tc>
          <w:tcPr>
            <w:tcW w:type="dxa" w:w="1372"/>
          </w:tcPr>
          <w:p>
            <w:r/>
            <w:r>
              <w:rPr>
                <w:b w:val="0"/>
                <w:i w:val="0"/>
              </w:rPr>
              <w:t>[12]</w:t>
            </w:r>
          </w:p>
        </w:tc>
        <w:tc>
          <w:tcPr>
            <w:tcW w:type="dxa" w:w="1372"/>
          </w:tcPr>
          <w:p>
            <w:r/>
            <w:r>
              <w:rPr>
                <w:b w:val="0"/>
                <w:i w:val="0"/>
              </w:rPr>
              <w:t>[e.g., encryption, aggregation]</w:t>
            </w:r>
          </w:p>
        </w:tc>
        <w:tc>
          <w:tcPr>
            <w:tcW w:type="dxa" w:w="1372"/>
          </w:tcPr>
          <w:p>
            <w:r/>
            <w:r>
              <w:rPr>
                <w:b w:val="0"/>
                <w:i w:val="0"/>
              </w:rPr>
              <w:t>[4]</w:t>
            </w:r>
          </w:p>
        </w:tc>
      </w:tr>
      <w:tr>
        <w:tc>
          <w:tcPr>
            <w:tcW w:type="dxa" w:w="1372"/>
            <w:shd w:val="clear" w:color="auto" w:fill="EAF0F8"/>
          </w:tcPr>
          <w:p>
            <w:r/>
            <w:r>
              <w:rPr>
                <w:b w:val="0"/>
                <w:i w:val="0"/>
              </w:rPr>
              <w:t>R2</w:t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137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5. CONSULTATION</w:t>
      </w:r>
    </w:p>
    <w:p>
      <w:pPr>
        <w:spacing w:after="80" w:before="0"/>
      </w:pPr>
      <w:r>
        <w:rPr>
          <w:b w:val="0"/>
          <w:i w:val="0"/>
          <w:sz w:val="21"/>
        </w:rPr>
        <w:t xml:space="preserve">5.1. **DPO opinion:**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  <w:sz w:val="21"/>
        </w:rPr>
        <w:t xml:space="preserve"> Date: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80" w:before="0"/>
      </w:pPr>
      <w:r>
        <w:rPr>
          <w:b w:val="0"/>
          <w:i w:val="0"/>
          <w:sz w:val="21"/>
        </w:rPr>
        <w:t xml:space="preserve">5.2. **Data subjects / relevant stakeholders consulted:** </w:t>
      </w:r>
      <w:r>
        <w:rPr>
          <w:b w:val="0"/>
          <w:i w:val="0"/>
          <w:sz w:val="21"/>
        </w:rPr>
        <w:t xml:space="preserve">Yes / No — method and results: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80" w:before="0"/>
      </w:pPr>
      <w:r>
        <w:rPr>
          <w:b w:val="0"/>
          <w:i w:val="0"/>
          <w:sz w:val="21"/>
        </w:rPr>
        <w:t xml:space="preserve">5.3. **Supervisory authority consultation (Art. 36):** Required / Not required — because </w:t>
      </w:r>
      <w:r>
        <w:rPr>
          <w:b w:val="0"/>
          <w:i w:val="0"/>
          <w:sz w:val="21"/>
        </w:rPr>
        <w:t xml:space="preserve">residual high risk remains / no residual high risk: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6. APPROVAL AND REVIEW</w:t>
      </w:r>
    </w:p>
    <w:p>
      <w:pPr>
        <w:spacing w:after="80" w:before="0"/>
      </w:pPr>
      <w:r>
        <w:rPr>
          <w:b w:val="0"/>
          <w:i w:val="0"/>
          <w:sz w:val="21"/>
        </w:rPr>
        <w:t>6.1. This DPIA is approved prior to processing start and reviewed whenever the processing, the technology, or the risk profile changes materially.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Processing / Project Owner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Data Protection Officer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 for use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 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