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Georgia" w:hAnsi="Georgia"/>
          <w:b/>
          <w:color w:val="1F3A5F"/>
          <w:sz w:val="40"/>
        </w:rPr>
        <w:t>DATA RETENTION POLICY</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4802"/>
        <w:gridCol w:w="4802"/>
      </w:tblGrid>
      <w:tr>
        <w:tc>
          <w:tcPr>
            <w:tcW w:type="dxa" w:w="2448"/>
            <w:shd w:val="clear" w:color="auto" w:fill="1F3A5F"/>
          </w:tcPr>
          <w:p>
            <w:r>
              <w:rPr>
                <w:b/>
                <w:color w:val="FFFFFF"/>
                <w:sz w:val="20"/>
              </w:rPr>
              <w:t>Field</w:t>
            </w:r>
          </w:p>
        </w:tc>
        <w:tc>
          <w:tcPr>
            <w:tcW w:type="dxa" w:w="6912"/>
            <w:shd w:val="clear" w:color="auto" w:fill="1F3A5F"/>
          </w:tcPr>
          <w:p>
            <w:r>
              <w:rPr>
                <w:b/>
                <w:color w:val="FFFFFF"/>
                <w:sz w:val="20"/>
              </w:rPr>
              <w:t>Details</w:t>
            </w:r>
          </w:p>
        </w:tc>
      </w:tr>
      <w:tr>
        <w:tc>
          <w:tcPr>
            <w:tcW w:type="dxa" w:w="2448"/>
          </w:tcPr>
          <w:p>
            <w:r>
              <w:rPr>
                <w:b/>
                <w:sz w:val="20"/>
              </w:rPr>
              <w:t>Document ID</w:t>
            </w:r>
          </w:p>
        </w:tc>
        <w:tc>
          <w:tcPr>
            <w:tcW w:type="dxa" w:w="6912"/>
          </w:tcPr>
          <w:p>
            <w:r>
              <w:rPr>
                <w:b w:val="0"/>
                <w:i w:val="0"/>
              </w:rPr>
              <w:t>[ORG]</w:t>
            </w:r>
            <w:r>
              <w:rPr>
                <w:b w:val="0"/>
                <w:i w:val="0"/>
              </w:rPr>
              <w:t>-DRP-001</w:t>
            </w:r>
          </w:p>
        </w:tc>
      </w:tr>
      <w:tr>
        <w:tc>
          <w:tcPr>
            <w:tcW w:type="dxa" w:w="2448"/>
            <w:shd w:val="clear" w:color="auto" w:fill="EAF0F8"/>
          </w:tcPr>
          <w:p>
            <w:r>
              <w:rPr>
                <w:b/>
                <w:sz w:val="20"/>
              </w:rPr>
              <w:t>Version</w:t>
            </w:r>
          </w:p>
        </w:tc>
        <w:tc>
          <w:tcPr>
            <w:tcW w:type="dxa" w:w="6912"/>
            <w:shd w:val="clear" w:color="auto" w:fill="EAF0F8"/>
          </w:tcPr>
          <w:p>
            <w:r>
              <w:rPr>
                <w:b w:val="0"/>
                <w:i w:val="0"/>
              </w:rPr>
              <w:t>1.0</w:t>
            </w:r>
          </w:p>
        </w:tc>
      </w:tr>
      <w:tr>
        <w:tc>
          <w:tcPr>
            <w:tcW w:type="dxa" w:w="2448"/>
          </w:tcPr>
          <w:p>
            <w:r>
              <w:rPr>
                <w:b/>
                <w:sz w:val="20"/>
              </w:rPr>
              <w:t>Owner</w:t>
            </w:r>
          </w:p>
        </w:tc>
        <w:tc>
          <w:tcPr>
            <w:tcW w:type="dxa" w:w="6912"/>
          </w:tcPr>
          <w:p>
            <w:r>
              <w:rPr>
                <w:b w:val="0"/>
                <w:i w:val="0"/>
              </w:rPr>
              <w:t>Data Protection Officer / Records Manager</w:t>
            </w:r>
          </w:p>
        </w:tc>
      </w:tr>
      <w:tr>
        <w:tc>
          <w:tcPr>
            <w:tcW w:type="dxa" w:w="2448"/>
            <w:shd w:val="clear" w:color="auto" w:fill="EAF0F8"/>
          </w:tcPr>
          <w:p>
            <w:r>
              <w:rPr>
                <w:b/>
                <w:sz w:val="20"/>
              </w:rPr>
              <w:t>Approved By</w:t>
            </w:r>
          </w:p>
        </w:tc>
        <w:tc>
          <w:tcPr>
            <w:tcW w:type="dxa" w:w="6912"/>
            <w:shd w:val="clear" w:color="auto" w:fill="EAF0F8"/>
          </w:tcPr>
          <w:p>
            <w:r>
              <w:rPr>
                <w:b w:val="0"/>
                <w:i w:val="0"/>
              </w:rPr>
              <w:t>Data Protection Officer / Legal</w:t>
            </w:r>
          </w:p>
        </w:tc>
      </w:tr>
      <w:tr>
        <w:tc>
          <w:tcPr>
            <w:tcW w:type="dxa" w:w="2448"/>
          </w:tcPr>
          <w:p>
            <w:r>
              <w:rPr>
                <w:b/>
                <w:sz w:val="20"/>
              </w:rPr>
              <w:t>Effective Date</w:t>
            </w:r>
          </w:p>
        </w:tc>
        <w:tc>
          <w:tcPr>
            <w:tcW w:type="dxa" w:w="6912"/>
          </w:tcPr>
          <w:p>
            <w:r>
              <w:rPr>
                <w:u/>
              </w:rPr>
              <w:fldChar w:fldCharType="begin"/>
              <w:instrText xml:space="preserve"> FORMTEXT </w:instrText>
              <w:fldChar w:fldCharType="separate"/>
              <w:t>                             </w:t>
              <w:fldChar w:fldCharType="end"/>
            </w:r>
          </w:p>
        </w:tc>
      </w:tr>
      <w:tr>
        <w:tc>
          <w:tcPr>
            <w:tcW w:type="dxa" w:w="2448"/>
            <w:shd w:val="clear" w:color="auto" w:fill="EAF0F8"/>
          </w:tcPr>
          <w:p>
            <w:r>
              <w:rPr>
                <w:b/>
                <w:sz w:val="20"/>
              </w:rPr>
              <w:t>Review Cycle</w:t>
            </w:r>
          </w:p>
        </w:tc>
        <w:tc>
          <w:tcPr>
            <w:tcW w:type="dxa" w:w="6912"/>
            <w:shd w:val="clear" w:color="auto" w:fill="EAF0F8"/>
          </w:tcPr>
          <w:p>
            <w:r>
              <w:rPr>
                <w:b w:val="0"/>
                <w:i w:val="0"/>
              </w:rPr>
              <w:t>Annual</w:t>
            </w:r>
          </w:p>
        </w:tc>
      </w:tr>
      <w:tr>
        <w:tc>
          <w:tcPr>
            <w:tcW w:type="dxa" w:w="2448"/>
          </w:tcPr>
          <w:p>
            <w:r>
              <w:rPr>
                <w:b/>
                <w:sz w:val="20"/>
              </w:rPr>
              <w:t>Related</w:t>
            </w:r>
          </w:p>
        </w:tc>
        <w:tc>
          <w:tcPr>
            <w:tcW w:type="dxa" w:w="6912"/>
          </w:tcPr>
          <w:p>
            <w:r>
              <w:rPr>
                <w:b w:val="0"/>
                <w:i w:val="0"/>
              </w:rPr>
              <w:t>ROPA, Backup Policy, Legal Hold Register</w:t>
            </w:r>
          </w:p>
        </w:tc>
      </w:tr>
    </w:tbl>
    <w:p>
      <w:pPr>
        <w:spacing w:after="120"/>
        <w:ind w:left="360"/>
      </w:pPr>
      <w:r>
        <w:rPr>
          <w:b/>
          <w:i/>
        </w:rPr>
        <w:t>Purpose: This policy defines how long each category of organizational data is retained and how it is deleted or destroyed at the end of its period, supporting the GDPR Article 5(1)(e) storage limitation principle (in force 2018) and the Organization's legal, regulatory, and business obligations.</w:t>
      </w:r>
    </w:p>
    <w:p>
      <w:pPr>
        <w:spacing w:after="120"/>
        <w:ind w:left="360"/>
      </w:pPr>
      <w:r>
        <w:rPr>
          <w:b/>
          <w:i/>
        </w:rPr>
        <w:t>How to use this template: Map every data store in scope to a row in the schedule. Where law and business need conflict, the longer period applies and is justified in the schedule. Apply a legal hold before any deletion when litigation or investigation is pending.</w:t>
      </w:r>
    </w:p>
    <w:p>
      <w:pPr>
        <w:spacing w:before="160" w:after="120"/>
      </w:pPr>
      <w:r>
        <w:rPr>
          <w:rFonts w:ascii="Georgia" w:hAnsi="Georgia"/>
          <w:b/>
          <w:color w:val="1F3A5F"/>
          <w:sz w:val="28"/>
        </w:rPr>
        <w:t>1. PURPOSE AND SCOPE</w:t>
      </w:r>
    </w:p>
    <w:p>
      <w:pPr>
        <w:spacing w:after="80" w:before="0"/>
      </w:pPr>
      <w:r>
        <w:rPr>
          <w:b w:val="0"/>
          <w:i w:val="0"/>
          <w:sz w:val="21"/>
        </w:rPr>
        <w:t>1.1. This policy applies to all personal and business data held by the Organization, in all media: electronic, paper, email, backups, and cloud services.</w:t>
      </w:r>
    </w:p>
    <w:p>
      <w:pPr>
        <w:spacing w:after="80" w:before="0"/>
      </w:pPr>
      <w:r>
        <w:rPr>
          <w:b w:val="0"/>
          <w:i w:val="0"/>
          <w:sz w:val="21"/>
        </w:rPr>
        <w:t>1.2. Retention periods are set by legal obligation, regulatory requirement, or documented business need — never by default.</w:t>
      </w:r>
    </w:p>
    <w:p>
      <w:pPr>
        <w:spacing w:before="160" w:after="120"/>
      </w:pPr>
      <w:r>
        <w:rPr>
          <w:rFonts w:ascii="Georgia" w:hAnsi="Georgia"/>
          <w:b/>
          <w:color w:val="1F3A5F"/>
          <w:sz w:val="28"/>
        </w:rPr>
        <w:t>2. RETENTION SCHEDULE</w:t>
      </w:r>
    </w:p>
    <w:p>
      <w:pPr>
        <w:spacing w:after="80" w:before="0"/>
      </w:pPr>
      <w:r>
        <w:rPr>
          <w:b w:val="0"/>
          <w:i w:val="0"/>
          <w:sz w:val="21"/>
        </w:rPr>
        <w:t>2.1. One row per data type:</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Data Type</w:t>
            </w:r>
          </w:p>
        </w:tc>
        <w:tc>
          <w:tcPr>
            <w:tcW w:type="dxa" w:w="2401"/>
            <w:shd w:val="clear" w:color="auto" w:fill="1F3A5F"/>
          </w:tcPr>
          <w:p>
            <w:r>
              <w:rPr>
                <w:b/>
                <w:color w:val="FFFFFF"/>
                <w:sz w:val="19"/>
              </w:rPr>
            </w:r>
            <w:r>
              <w:rPr>
                <w:b/>
                <w:i w:val="0"/>
                <w:color w:val="FFFFFF"/>
                <w:sz w:val="19"/>
              </w:rPr>
              <w:t>Legal Basis / Obligation</w:t>
            </w:r>
          </w:p>
        </w:tc>
        <w:tc>
          <w:tcPr>
            <w:tcW w:type="dxa" w:w="2401"/>
            <w:shd w:val="clear" w:color="auto" w:fill="1F3A5F"/>
          </w:tcPr>
          <w:p>
            <w:r>
              <w:rPr>
                <w:b/>
                <w:color w:val="FFFFFF"/>
                <w:sz w:val="19"/>
              </w:rPr>
            </w:r>
            <w:r>
              <w:rPr>
                <w:b/>
                <w:i w:val="0"/>
                <w:color w:val="FFFFFF"/>
                <w:sz w:val="19"/>
              </w:rPr>
              <w:t>Retention Period</w:t>
            </w:r>
          </w:p>
        </w:tc>
        <w:tc>
          <w:tcPr>
            <w:tcW w:type="dxa" w:w="2401"/>
            <w:shd w:val="clear" w:color="auto" w:fill="1F3A5F"/>
          </w:tcPr>
          <w:p>
            <w:r>
              <w:rPr>
                <w:b/>
                <w:color w:val="FFFFFF"/>
                <w:sz w:val="19"/>
              </w:rPr>
            </w:r>
            <w:r>
              <w:rPr>
                <w:b/>
                <w:i w:val="0"/>
                <w:color w:val="FFFFFF"/>
                <w:sz w:val="19"/>
              </w:rPr>
              <w:t>Deletion Method</w:t>
            </w:r>
          </w:p>
        </w:tc>
      </w:tr>
      <w:tr>
        <w:tc>
          <w:tcPr>
            <w:tcW w:type="dxa" w:w="2401"/>
          </w:tcPr>
          <w:p>
            <w:r/>
            <w:r>
              <w:rPr>
                <w:b w:val="0"/>
                <w:i w:val="0"/>
              </w:rPr>
              <w:t>HR / personnel records</w:t>
            </w:r>
          </w:p>
        </w:tc>
        <w:tc>
          <w:tcPr>
            <w:tcW w:type="dxa" w:w="2401"/>
          </w:tcPr>
          <w:p>
            <w:r/>
            <w:r>
              <w:fldChar w:fldCharType="begin"/>
              <w:fldPr>
                <w:ffData>
                  <w:ffName w:val="Labor law"/>
                  <w:ffName w:val="contract"/>
                </w:ffData>
              </w:fldPr>
              <w:instrText xml:space="preserve"> FORMDROPDOWN </w:instrText>
              <w:fldChar w:fldCharType="separate"/>
              <w:t>Labor law</w:t>
              <w:fldChar w:fldCharType="end"/>
            </w:r>
          </w:p>
        </w:tc>
        <w:tc>
          <w:tcPr>
            <w:tcW w:type="dxa" w:w="2401"/>
          </w:tcPr>
          <w:p>
            <w:r/>
            <w:r>
              <w:rPr>
                <w:b w:val="0"/>
                <w:i w:val="0"/>
              </w:rPr>
              <w:t>[6 years after termination]</w:t>
            </w:r>
          </w:p>
        </w:tc>
        <w:tc>
          <w:tcPr>
            <w:tcW w:type="dxa" w:w="2401"/>
          </w:tcPr>
          <w:p>
            <w:r/>
            <w:r>
              <w:fldChar w:fldCharType="begin"/>
              <w:fldPr>
                <w:ffData>
                  <w:ffName w:val="Secure deletion"/>
                  <w:ffName w:val="shredding"/>
                </w:ffData>
              </w:fldPr>
              <w:instrText xml:space="preserve"> FORMDROPDOWN </w:instrText>
              <w:fldChar w:fldCharType="separate"/>
              <w:t>Secure deletion</w:t>
              <w:fldChar w:fldCharType="end"/>
            </w:r>
          </w:p>
        </w:tc>
      </w:tr>
      <w:tr>
        <w:tc>
          <w:tcPr>
            <w:tcW w:type="dxa" w:w="2401"/>
            <w:shd w:val="clear" w:color="auto" w:fill="EAF0F8"/>
          </w:tcPr>
          <w:p>
            <w:r/>
            <w:r>
              <w:rPr>
                <w:b w:val="0"/>
                <w:i w:val="0"/>
              </w:rPr>
              <w:t>Financial records</w:t>
            </w:r>
          </w:p>
        </w:tc>
        <w:tc>
          <w:tcPr>
            <w:tcW w:type="dxa" w:w="2401"/>
            <w:shd w:val="clear" w:color="auto" w:fill="EAF0F8"/>
          </w:tcPr>
          <w:p>
            <w:r/>
            <w:r>
              <w:rPr>
                <w:b w:val="0"/>
                <w:i w:val="0"/>
              </w:rPr>
              <w:t xml:space="preserve">Tax law: </w:t>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r>
        <w:tc>
          <w:tcPr>
            <w:tcW w:type="dxa" w:w="2401"/>
          </w:tcPr>
          <w:p>
            <w:r/>
            <w:r>
              <w:rPr>
                <w:b w:val="0"/>
                <w:i w:val="0"/>
              </w:rPr>
              <w:t>Customer contracts</w:t>
            </w:r>
          </w:p>
        </w:tc>
        <w:tc>
          <w:tcPr>
            <w:tcW w:type="dxa" w:w="2401"/>
          </w:tcPr>
          <w:p>
            <w:r/>
            <w:r>
              <w:fldChar w:fldCharType="begin"/>
              <w:fldPr>
                <w:ffData>
                  <w:ffName w:val="Contract"/>
                  <w:ffName w:val="limitation period"/>
                </w:ffData>
              </w:fldPr>
              <w:instrText xml:space="preserve"> FORMDROPDOWN </w:instrText>
              <w:fldChar w:fldCharType="separate"/>
              <w:t>Contract</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Marketing / consent records</w:t>
            </w:r>
          </w:p>
        </w:tc>
        <w:tc>
          <w:tcPr>
            <w:tcW w:type="dxa" w:w="2401"/>
            <w:shd w:val="clear" w:color="auto" w:fill="EAF0F8"/>
          </w:tcPr>
          <w:p>
            <w:r/>
            <w:r>
              <w:rPr>
                <w:b w:val="0"/>
                <w:i w:val="0"/>
              </w:rPr>
              <w:t>[GDPR Art. 5(1)(e) — consent evidence]</w:t>
            </w:r>
          </w:p>
        </w:tc>
        <w:tc>
          <w:tcPr>
            <w:tcW w:type="dxa" w:w="2401"/>
            <w:shd w:val="clear" w:color="auto" w:fill="EAF0F8"/>
          </w:tcPr>
          <w:p>
            <w:r/>
            <w:r>
              <w:rPr>
                <w:b w:val="0"/>
                <w:i w:val="0"/>
              </w:rPr>
              <w:t xml:space="preserve">[Until consent withdrawn + </w:t>
            </w:r>
            <w:r>
              <w:rPr>
                <w:u/>
              </w:rPr>
              <w:fldChar w:fldCharType="begin"/>
              <w:instrText xml:space="preserve"> FORMTEXT </w:instrText>
              <w:fldChar w:fldCharType="separate"/>
              <w:t>                             </w:t>
              <w:fldChar w:fldCharType="end"/>
            </w:r>
            <w:r>
              <w:rPr>
                <w:b w:val="0"/>
                <w:i w:val="0"/>
              </w:rPr>
              <w:t>]</w:t>
            </w:r>
          </w:p>
        </w:tc>
        <w:tc>
          <w:tcPr>
            <w:tcW w:type="dxa" w:w="2401"/>
            <w:shd w:val="clear" w:color="auto" w:fill="EAF0F8"/>
          </w:tcPr>
          <w:p>
            <w:r/>
            <w:r>
              <w:rPr>
                <w:u/>
              </w:rPr>
              <w:fldChar w:fldCharType="begin"/>
              <w:instrText xml:space="preserve"> FORMTEXT </w:instrText>
              <w:fldChar w:fldCharType="separate"/>
              <w:t>                             </w:t>
              <w:fldChar w:fldCharType="end"/>
            </w:r>
          </w:p>
        </w:tc>
      </w:tr>
      <w:tr>
        <w:tc>
          <w:tcPr>
            <w:tcW w:type="dxa" w:w="2401"/>
          </w:tcPr>
          <w:p>
            <w:r/>
            <w:r>
              <w:rPr>
                <w:b w:val="0"/>
                <w:i w:val="0"/>
              </w:rPr>
              <w:t>Security logs</w:t>
            </w:r>
          </w:p>
        </w:tc>
        <w:tc>
          <w:tcPr>
            <w:tcW w:type="dxa" w:w="2401"/>
          </w:tcPr>
          <w:p>
            <w:r/>
            <w:r>
              <w:fldChar w:fldCharType="begin"/>
              <w:fldPr>
                <w:ffData>
                  <w:ffName w:val="NIS2 Art. 21"/>
                  <w:ffName w:val="business need"/>
                </w:ffData>
              </w:fldPr>
              <w:instrText xml:space="preserve"> FORMDROPDOWN </w:instrText>
              <w:fldChar w:fldCharType="separate"/>
              <w:t>NIS2 Art. 21</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Video surveillance footage</w:t>
            </w:r>
          </w:p>
        </w:tc>
        <w:tc>
          <w:tcPr>
            <w:tcW w:type="dxa" w:w="2401"/>
            <w:shd w:val="clear" w:color="auto" w:fill="EAF0F8"/>
          </w:tcPr>
          <w:p>
            <w:r/>
            <w:r>
              <w:fldChar w:fldCharType="begin"/>
              <w:fldPr>
                <w:ffData>
                  <w:ffName w:val="GDPR"/>
                  <w:ffName w:val="security need"/>
                </w:ffData>
              </w:fldPr>
              <w:instrText xml:space="preserve"> FORMDROPDOWN </w:instrText>
              <w:fldChar w:fldCharType="separate"/>
              <w:t>GDPR</w:t>
              <w:fldChar w:fldCharType="end"/>
            </w:r>
          </w:p>
        </w:tc>
        <w:tc>
          <w:tcPr>
            <w:tcW w:type="dxa" w:w="2401"/>
            <w:shd w:val="clear" w:color="auto" w:fill="EAF0F8"/>
          </w:tcPr>
          <w:p>
            <w:r/>
            <w:r>
              <w:rPr>
                <w:b w:val="0"/>
                <w:i w:val="0"/>
              </w:rPr>
              <w:t>[30 days]</w:t>
            </w:r>
          </w:p>
        </w:tc>
        <w:tc>
          <w:tcPr>
            <w:tcW w:type="dxa" w:w="2401"/>
            <w:shd w:val="clear" w:color="auto" w:fill="EAF0F8"/>
          </w:tcPr>
          <w:p>
            <w:r/>
            <w:r>
              <w:fldChar w:fldCharType="begin"/>
              <w:fldPr>
                <w:ffData>
                  <w:ffName w:val="Overwrite"/>
                  <w:ffName w:val="deletion"/>
                </w:ffData>
              </w:fldPr>
              <w:instrText xml:space="preserve"> FORMDROPDOWN </w:instrText>
              <w:fldChar w:fldCharType="separate"/>
              <w:t>Overwrite</w:t>
              <w:fldChar w:fldCharType="end"/>
            </w:r>
          </w:p>
        </w:tc>
      </w:tr>
      <w:tr>
        <w:tc>
          <w:tcPr>
            <w:tcW w:type="dxa" w:w="2401"/>
          </w:tcPr>
          <w:p>
            <w:r/>
            <w:r>
              <w:rPr>
                <w:b w:val="0"/>
                <w:i w:val="0"/>
              </w:rPr>
              <w:t>AI training / prompt logs</w:t>
            </w:r>
          </w:p>
        </w:tc>
        <w:tc>
          <w:tcPr>
            <w:tcW w:type="dxa" w:w="2401"/>
          </w:tcPr>
          <w:p>
            <w:r/>
            <w:r>
              <w:rPr>
                <w:b w:val="0"/>
                <w:i w:val="0"/>
              </w:rPr>
              <w:t>[AI Act Art. 12 logging (high-risk)]</w:t>
            </w:r>
          </w:p>
        </w:tc>
        <w:tc>
          <w:tcPr>
            <w:tcW w:type="dxa" w:w="2401"/>
          </w:tcPr>
          <w:p>
            <w:r/>
            <w:r>
              <w:rPr>
                <w:b w:val="0"/>
                <w:i w:val="0"/>
              </w:rPr>
              <w:t>[At least 6 months]</w:t>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 xml:space="preserve">Other: </w:t>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bl>
    <w:p>
      <w:pPr>
        <w:spacing w:after="40"/>
      </w:pPr>
    </w:p>
    <w:p>
      <w:pPr>
        <w:spacing w:after="80" w:before="0"/>
      </w:pPr>
      <w:r>
        <w:rPr>
          <w:b w:val="0"/>
          <w:i w:val="0"/>
          <w:sz w:val="21"/>
        </w:rPr>
        <w:t xml:space="preserve">2.2. **Backups** are retained per the Backup Policy but must not exceed the retention period of the underlying data except where technically unavoidable and documented: </w:t>
      </w:r>
      <w:r>
        <w:rPr>
          <w:b w:val="0"/>
          <w:i w:val="0"/>
          <w:sz w:val="21"/>
          <w:u/>
        </w:rPr>
        <w:fldChar w:fldCharType="begin"/>
        <w:instrText xml:space="preserve"> FORMTEXT </w:instrText>
        <w:fldChar w:fldCharType="separate"/>
        <w:t>                             </w:t>
        <w:fldChar w:fldCharType="end"/>
      </w:r>
    </w:p>
    <w:p>
      <w:pPr>
        <w:spacing w:after="80" w:before="0"/>
      </w:pPr>
      <w:r>
        <w:rPr>
          <w:b w:val="0"/>
          <w:i w:val="0"/>
          <w:sz w:val="21"/>
        </w:rPr>
        <w:t>Exceptions are documented with the data owner's approval.</w:t>
      </w:r>
    </w:p>
    <w:p>
      <w:pPr>
        <w:spacing w:before="160" w:after="120"/>
      </w:pPr>
      <w:r>
        <w:rPr>
          <w:rFonts w:ascii="Georgia" w:hAnsi="Georgia"/>
          <w:b/>
          <w:color w:val="1F3A5F"/>
          <w:sz w:val="28"/>
        </w:rPr>
        <w:t>3. REVIEW CADENCE</w:t>
      </w:r>
    </w:p>
    <w:p>
      <w:pPr>
        <w:spacing w:after="80" w:before="0"/>
      </w:pPr>
      <w:r>
        <w:rPr>
          <w:b w:val="0"/>
          <w:i w:val="0"/>
          <w:sz w:val="21"/>
        </w:rPr>
        <w:t>3.1. The schedule is reviewed annually and when legal requirements change (e.g., new obligations under NIS2, DORA, or the EU AI Act become applicable).</w:t>
      </w:r>
    </w:p>
    <w:p>
      <w:pPr>
        <w:spacing w:after="80" w:before="0"/>
      </w:pPr>
      <w:r>
        <w:rPr>
          <w:b w:val="0"/>
          <w:i w:val="0"/>
          <w:sz w:val="21"/>
        </w:rPr>
        <w:t>3.2. Data owners confirm their rows at each review; the DPO quality-assures the review under the Three Lines Model (IIA 2020).</w:t>
      </w:r>
    </w:p>
    <w:p>
      <w:pPr>
        <w:spacing w:before="160" w:after="120"/>
      </w:pPr>
      <w:r>
        <w:rPr>
          <w:rFonts w:ascii="Georgia" w:hAnsi="Georgia"/>
          <w:b/>
          <w:color w:val="1F3A5F"/>
          <w:sz w:val="28"/>
        </w:rPr>
        <w:t>4. LEGAL HOLD</w:t>
      </w:r>
    </w:p>
    <w:p>
      <w:pPr>
        <w:spacing w:after="80" w:before="0"/>
      </w:pPr>
      <w:r>
        <w:rPr>
          <w:b w:val="0"/>
          <w:i w:val="0"/>
          <w:sz w:val="21"/>
        </w:rPr>
        <w:t>4.1. Where litigation, investigation, or regulatory action is pending or reasonably anticipated, a legal hold suspends deletion of affected data:</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1921"/>
        <w:gridCol w:w="1921"/>
        <w:gridCol w:w="1921"/>
        <w:gridCol w:w="1921"/>
        <w:gridCol w:w="1921"/>
      </w:tblGrid>
      <w:tr>
        <w:tc>
          <w:tcPr>
            <w:tcW w:type="dxa" w:w="1921"/>
            <w:shd w:val="clear" w:color="auto" w:fill="1F3A5F"/>
          </w:tcPr>
          <w:p>
            <w:r>
              <w:rPr>
                <w:b/>
                <w:color w:val="FFFFFF"/>
                <w:sz w:val="19"/>
              </w:rPr>
            </w:r>
            <w:r>
              <w:rPr>
                <w:b/>
                <w:i w:val="0"/>
                <w:color w:val="FFFFFF"/>
                <w:sz w:val="19"/>
              </w:rPr>
              <w:t>Legal Hold</w:t>
            </w:r>
          </w:p>
        </w:tc>
        <w:tc>
          <w:tcPr>
            <w:tcW w:type="dxa" w:w="1921"/>
            <w:shd w:val="clear" w:color="auto" w:fill="1F3A5F"/>
          </w:tcPr>
          <w:p>
            <w:r>
              <w:rPr>
                <w:b/>
                <w:color w:val="FFFFFF"/>
                <w:sz w:val="19"/>
              </w:rPr>
            </w:r>
            <w:r>
              <w:rPr>
                <w:b/>
                <w:i w:val="0"/>
                <w:color w:val="FFFFFF"/>
                <w:sz w:val="19"/>
              </w:rPr>
              <w:t>Scope</w:t>
            </w:r>
          </w:p>
        </w:tc>
        <w:tc>
          <w:tcPr>
            <w:tcW w:type="dxa" w:w="1921"/>
            <w:shd w:val="clear" w:color="auto" w:fill="1F3A5F"/>
          </w:tcPr>
          <w:p>
            <w:r>
              <w:rPr>
                <w:b/>
                <w:color w:val="FFFFFF"/>
                <w:sz w:val="19"/>
              </w:rPr>
            </w:r>
            <w:r>
              <w:rPr>
                <w:b/>
                <w:i w:val="0"/>
                <w:color w:val="FFFFFF"/>
                <w:sz w:val="19"/>
              </w:rPr>
              <w:t>Date Issued</w:t>
            </w:r>
          </w:p>
        </w:tc>
        <w:tc>
          <w:tcPr>
            <w:tcW w:type="dxa" w:w="1921"/>
            <w:shd w:val="clear" w:color="auto" w:fill="1F3A5F"/>
          </w:tcPr>
          <w:p>
            <w:r>
              <w:rPr>
                <w:b/>
                <w:color w:val="FFFFFF"/>
                <w:sz w:val="19"/>
              </w:rPr>
            </w:r>
            <w:r>
              <w:rPr>
                <w:b/>
                <w:i w:val="0"/>
                <w:color w:val="FFFFFF"/>
                <w:sz w:val="19"/>
              </w:rPr>
              <w:t>Date Lifted</w:t>
            </w:r>
          </w:p>
        </w:tc>
        <w:tc>
          <w:tcPr>
            <w:tcW w:type="dxa" w:w="1921"/>
            <w:shd w:val="clear" w:color="auto" w:fill="1F3A5F"/>
          </w:tcPr>
          <w:p>
            <w:r>
              <w:rPr>
                <w:b/>
                <w:color w:val="FFFFFF"/>
                <w:sz w:val="19"/>
              </w:rPr>
            </w:r>
            <w:r>
              <w:rPr>
                <w:b/>
                <w:i w:val="0"/>
                <w:color w:val="FFFFFF"/>
                <w:sz w:val="19"/>
              </w:rPr>
              <w:t>Authorized By</w:t>
            </w:r>
          </w:p>
        </w:tc>
      </w:tr>
      <w:tr>
        <w:tc>
          <w:tcPr>
            <w:tcW w:type="dxa" w:w="1921"/>
          </w:tcPr>
          <w:p>
            <w:r/>
            <w:r>
              <w:rPr>
                <w:u/>
              </w:rPr>
              <w:fldChar w:fldCharType="begin"/>
              <w:instrText xml:space="preserve"> FORMTEXT </w:instrText>
              <w:fldChar w:fldCharType="separate"/>
              <w:t>                             </w:t>
              <w:fldChar w:fldCharType="end"/>
            </w:r>
          </w:p>
        </w:tc>
        <w:tc>
          <w:tcPr>
            <w:tcW w:type="dxa" w:w="1921"/>
          </w:tcPr>
          <w:p>
            <w:r/>
            <w:r>
              <w:rPr>
                <w:u/>
              </w:rPr>
              <w:fldChar w:fldCharType="begin"/>
              <w:instrText xml:space="preserve"> FORMTEXT </w:instrText>
              <w:fldChar w:fldCharType="separate"/>
              <w:t>                             </w:t>
              <w:fldChar w:fldCharType="end"/>
            </w:r>
          </w:p>
        </w:tc>
        <w:tc>
          <w:tcPr>
            <w:tcW w:type="dxa" w:w="1921"/>
          </w:tcPr>
          <w:p>
            <w:r/>
            <w:r>
              <w:rPr>
                <w:u/>
              </w:rPr>
              <w:fldChar w:fldCharType="begin"/>
              <w:instrText xml:space="preserve"> FORMTEXT </w:instrText>
              <w:fldChar w:fldCharType="separate"/>
              <w:t>                             </w:t>
              <w:fldChar w:fldCharType="end"/>
            </w:r>
          </w:p>
        </w:tc>
        <w:tc>
          <w:tcPr>
            <w:tcW w:type="dxa" w:w="1921"/>
          </w:tcPr>
          <w:p>
            <w:r/>
            <w:r>
              <w:rPr>
                <w:u/>
              </w:rPr>
              <w:fldChar w:fldCharType="begin"/>
              <w:instrText xml:space="preserve"> FORMTEXT </w:instrText>
              <w:fldChar w:fldCharType="separate"/>
              <w:t>                             </w:t>
              <w:fldChar w:fldCharType="end"/>
            </w:r>
          </w:p>
        </w:tc>
        <w:tc>
          <w:tcPr>
            <w:tcW w:type="dxa" w:w="1921"/>
          </w:tcPr>
          <w:p>
            <w:r/>
            <w:r>
              <w:rPr>
                <w:u/>
              </w:rPr>
              <w:fldChar w:fldCharType="begin"/>
              <w:instrText xml:space="preserve"> FORMTEXT </w:instrText>
              <w:fldChar w:fldCharType="separate"/>
              <w:t>                             </w:t>
              <w:fldChar w:fldCharType="end"/>
            </w:r>
          </w:p>
        </w:tc>
      </w:tr>
    </w:tbl>
    <w:p>
      <w:pPr>
        <w:spacing w:after="40"/>
      </w:pPr>
    </w:p>
    <w:p>
      <w:pPr>
        <w:spacing w:after="80" w:before="0"/>
      </w:pPr>
      <w:r>
        <w:rPr>
          <w:b w:val="0"/>
          <w:i w:val="0"/>
          <w:sz w:val="21"/>
        </w:rPr>
        <w:t>4.2. Legal holds override all retention periods; deletion resumes only after the hold is formally lifted.</w:t>
      </w:r>
    </w:p>
    <w:p>
      <w:pPr>
        <w:spacing w:before="160" w:after="120"/>
      </w:pPr>
      <w:r>
        <w:rPr>
          <w:rFonts w:ascii="Georgia" w:hAnsi="Georgia"/>
          <w:b/>
          <w:color w:val="1F3A5F"/>
          <w:sz w:val="28"/>
        </w:rPr>
        <w:t>APPROVAL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Role</w:t>
            </w:r>
          </w:p>
        </w:tc>
        <w:tc>
          <w:tcPr>
            <w:tcW w:type="dxa" w:w="2401"/>
            <w:shd w:val="clear" w:color="auto" w:fill="1F3A5F"/>
          </w:tcPr>
          <w:p>
            <w:r>
              <w:rPr>
                <w:b/>
                <w:color w:val="FFFFFF"/>
                <w:sz w:val="19"/>
              </w:rPr>
            </w:r>
            <w:r>
              <w:rPr>
                <w:b/>
                <w:i w:val="0"/>
                <w:color w:val="FFFFFF"/>
                <w:sz w:val="19"/>
              </w:rPr>
              <w:t>Name</w:t>
            </w:r>
          </w:p>
        </w:tc>
        <w:tc>
          <w:tcPr>
            <w:tcW w:type="dxa" w:w="2401"/>
            <w:shd w:val="clear" w:color="auto" w:fill="1F3A5F"/>
          </w:tcPr>
          <w:p>
            <w:r>
              <w:rPr>
                <w:b/>
                <w:color w:val="FFFFFF"/>
                <w:sz w:val="19"/>
              </w:rPr>
            </w:r>
            <w:r>
              <w:rPr>
                <w:b/>
                <w:i w:val="0"/>
                <w:color w:val="FFFFFF"/>
                <w:sz w:val="19"/>
              </w:rPr>
              <w:t>Signature</w:t>
            </w:r>
          </w:p>
        </w:tc>
        <w:tc>
          <w:tcPr>
            <w:tcW w:type="dxa" w:w="2401"/>
            <w:shd w:val="clear" w:color="auto" w:fill="1F3A5F"/>
          </w:tcPr>
          <w:p>
            <w:r>
              <w:rPr>
                <w:b/>
                <w:color w:val="FFFFFF"/>
                <w:sz w:val="19"/>
              </w:rPr>
            </w:r>
            <w:r>
              <w:rPr>
                <w:b/>
                <w:i w:val="0"/>
                <w:color w:val="FFFFFF"/>
                <w:sz w:val="19"/>
              </w:rPr>
              <w:t>Date</w:t>
            </w:r>
          </w:p>
        </w:tc>
      </w:tr>
      <w:tr>
        <w:tc>
          <w:tcPr>
            <w:tcW w:type="dxa" w:w="2401"/>
          </w:tcPr>
          <w:p>
            <w:r/>
            <w:r>
              <w:rPr>
                <w:b w:val="0"/>
                <w:i w:val="0"/>
              </w:rPr>
              <w:t>DPO / Records Manager</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r>
      <w:tr>
        <w:tc>
          <w:tcPr>
            <w:tcW w:type="dxa" w:w="2401"/>
            <w:shd w:val="clear" w:color="auto" w:fill="EAF0F8"/>
          </w:tcPr>
          <w:p>
            <w:r/>
            <w:r>
              <w:rPr>
                <w:b w:val="0"/>
                <w:i w:val="0"/>
              </w:rPr>
              <w:t>Legal Counsel</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r>
    </w:tbl>
    <w:p>
      <w:pPr>
        <w:spacing w:after="40"/>
      </w:pPr>
    </w:p>
    <w:p>
      <w:pPr>
        <w:spacing w:before="160" w:after="120"/>
      </w:pPr>
      <w:r>
        <w:rPr>
          <w:rFonts w:ascii="Georgia" w:hAnsi="Georgia"/>
          <w:b/>
          <w:color w:val="1F3A5F"/>
          <w:sz w:val="28"/>
        </w:rPr>
        <w:t>DOCUMENT CONTROL</w:t>
      </w:r>
    </w:p>
    <w:tbl>
      <w:tblPr>
        <w:tblW w:type="auto" w:w="0"/>
        <w:jc w:val="center"/>
        <w:tblLook w:firstColumn="1" w:firstRow="1" w:lastColumn="0" w:lastRow="0" w:noHBand="0" w:noVBand="1" w:val="04A0"/>
        <w:tblBorders>
          <w:top w:val="single" w:sz="4" w:space="0" w:color="B8C4D8"/>
          <w:left w:val="single" w:sz="4" w:space="0" w:color="B8C4D8"/>
          <w:bottom w:val="single" w:sz="4" w:space="0" w:color="B8C4D8"/>
          <w:right w:val="single" w:sz="4" w:space="0" w:color="B8C4D8"/>
          <w:insideH w:val="single" w:sz="4" w:space="0" w:color="B8C4D8"/>
          <w:insideV w:val="single" w:sz="4" w:space="0" w:color="B8C4D8"/>
        </w:tblBorders>
      </w:tblPr>
      <w:tblGrid>
        <w:gridCol w:w="2401"/>
        <w:gridCol w:w="2401"/>
        <w:gridCol w:w="2401"/>
        <w:gridCol w:w="2401"/>
      </w:tblGrid>
      <w:tr>
        <w:tc>
          <w:tcPr>
            <w:tcW w:type="dxa" w:w="2401"/>
            <w:shd w:val="clear" w:color="auto" w:fill="1F3A5F"/>
          </w:tcPr>
          <w:p>
            <w:r>
              <w:rPr>
                <w:b/>
                <w:color w:val="FFFFFF"/>
                <w:sz w:val="19"/>
              </w:rPr>
            </w:r>
            <w:r>
              <w:rPr>
                <w:b/>
                <w:i w:val="0"/>
                <w:color w:val="FFFFFF"/>
                <w:sz w:val="19"/>
              </w:rPr>
              <w:t>Version</w:t>
            </w:r>
          </w:p>
        </w:tc>
        <w:tc>
          <w:tcPr>
            <w:tcW w:type="dxa" w:w="2401"/>
            <w:shd w:val="clear" w:color="auto" w:fill="1F3A5F"/>
          </w:tcPr>
          <w:p>
            <w:r>
              <w:rPr>
                <w:b/>
                <w:color w:val="FFFFFF"/>
                <w:sz w:val="19"/>
              </w:rPr>
            </w:r>
            <w:r>
              <w:rPr>
                <w:b/>
                <w:i w:val="0"/>
                <w:color w:val="FFFFFF"/>
                <w:sz w:val="19"/>
              </w:rPr>
              <w:t>Date</w:t>
            </w:r>
          </w:p>
        </w:tc>
        <w:tc>
          <w:tcPr>
            <w:tcW w:type="dxa" w:w="2401"/>
            <w:shd w:val="clear" w:color="auto" w:fill="1F3A5F"/>
          </w:tcPr>
          <w:p>
            <w:r>
              <w:rPr>
                <w:b/>
                <w:color w:val="FFFFFF"/>
                <w:sz w:val="19"/>
              </w:rPr>
            </w:r>
            <w:r>
              <w:rPr>
                <w:b/>
                <w:i w:val="0"/>
                <w:color w:val="FFFFFF"/>
                <w:sz w:val="19"/>
              </w:rPr>
              <w:t>Author</w:t>
            </w:r>
          </w:p>
        </w:tc>
        <w:tc>
          <w:tcPr>
            <w:tcW w:type="dxa" w:w="2401"/>
            <w:shd w:val="clear" w:color="auto" w:fill="1F3A5F"/>
          </w:tcPr>
          <w:p>
            <w:r>
              <w:rPr>
                <w:b/>
                <w:color w:val="FFFFFF"/>
                <w:sz w:val="19"/>
              </w:rPr>
            </w:r>
            <w:r>
              <w:rPr>
                <w:b/>
                <w:i w:val="0"/>
                <w:color w:val="FFFFFF"/>
                <w:sz w:val="19"/>
              </w:rPr>
              <w:t>Change Description</w:t>
            </w:r>
          </w:p>
        </w:tc>
      </w:tr>
      <w:tr>
        <w:tc>
          <w:tcPr>
            <w:tcW w:type="dxa" w:w="2401"/>
          </w:tcPr>
          <w:p>
            <w:r/>
            <w:r>
              <w:rPr>
                <w:b w:val="0"/>
                <w:i w:val="0"/>
              </w:rPr>
              <w:t>0.1</w:t>
            </w:r>
          </w:p>
        </w:tc>
        <w:tc>
          <w:tcPr>
            <w:tcW w:type="dxa" w:w="2401"/>
          </w:tcPr>
          <w:p>
            <w:r/>
            <w:r>
              <w:rPr>
                <w:u/>
              </w:rPr>
              <w:fldChar w:fldCharType="begin"/>
              <w:instrText xml:space="preserve"> FORMTEXT </w:instrText>
              <w:fldChar w:fldCharType="separate"/>
              <w:t>                             </w:t>
              <w:fldChar w:fldCharType="end"/>
            </w:r>
          </w:p>
        </w:tc>
        <w:tc>
          <w:tcPr>
            <w:tcW w:type="dxa" w:w="2401"/>
          </w:tcPr>
          <w:p>
            <w:r/>
            <w:r>
              <w:rPr>
                <w:u/>
              </w:rPr>
              <w:fldChar w:fldCharType="begin"/>
              <w:instrText xml:space="preserve"> FORMTEXT </w:instrText>
              <w:fldChar w:fldCharType="separate"/>
              <w:t>                             </w:t>
              <w:fldChar w:fldCharType="end"/>
            </w:r>
          </w:p>
        </w:tc>
        <w:tc>
          <w:tcPr>
            <w:tcW w:type="dxa" w:w="2401"/>
          </w:tcPr>
          <w:p>
            <w:r/>
            <w:r>
              <w:rPr>
                <w:b w:val="0"/>
                <w:i w:val="0"/>
              </w:rPr>
              <w:t>Initial draft</w:t>
            </w:r>
          </w:p>
        </w:tc>
      </w:tr>
      <w:tr>
        <w:tc>
          <w:tcPr>
            <w:tcW w:type="dxa" w:w="2401"/>
            <w:shd w:val="clear" w:color="auto" w:fill="EAF0F8"/>
          </w:tcPr>
          <w:p>
            <w:r/>
            <w:r>
              <w:rPr>
                <w:b w:val="0"/>
                <w:i w:val="0"/>
              </w:rPr>
              <w:t>1.0</w:t>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u/>
              </w:rPr>
              <w:fldChar w:fldCharType="begin"/>
              <w:instrText xml:space="preserve"> FORMTEXT </w:instrText>
              <w:fldChar w:fldCharType="separate"/>
              <w:t>                             </w:t>
              <w:fldChar w:fldCharType="end"/>
            </w:r>
          </w:p>
        </w:tc>
        <w:tc>
          <w:tcPr>
            <w:tcW w:type="dxa" w:w="2401"/>
            <w:shd w:val="clear" w:color="auto" w:fill="EAF0F8"/>
          </w:tcPr>
          <w:p>
            <w:r/>
            <w:r>
              <w:rPr>
                <w:b w:val="0"/>
                <w:i w:val="0"/>
              </w:rPr>
              <w:t>Approved for use</w:t>
            </w:r>
          </w:p>
        </w:tc>
      </w:tr>
    </w:tbl>
    <w:p>
      <w:pPr>
        <w:spacing w:after="40"/>
      </w:pPr>
    </w:p>
    <w:p>
      <w:pPr>
        <w:spacing w:after="80" w:before="0"/>
      </w:pPr>
      <w:r>
        <w:rPr>
          <w:b w:val="0"/>
          <w:i w:val="0"/>
          <w:sz w:val="21"/>
        </w:rPr>
        <w:t>*Template from "The Governance, Risk and Compliance Architect" (Hendriksen, 2026). Adapt to your organization's context before use.*</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umentProtection w:edit="forms" w:enforcement="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