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Georgia" w:hAnsi="Georgia"/>
          <w:b/>
          <w:color w:val="1F3A5F"/>
          <w:sz w:val="40"/>
        </w:rPr>
        <w:t>RECORD OF PROCESSING ACTIVITIES (ROPA)</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4802"/>
        <w:gridCol w:w="4802"/>
      </w:tblGrid>
      <w:tr>
        <w:tc>
          <w:tcPr>
            <w:tcW w:type="dxa" w:w="2448"/>
            <w:shd w:val="clear" w:color="auto" w:fill="1F3A5F"/>
          </w:tcPr>
          <w:p>
            <w:r>
              <w:rPr>
                <w:b/>
                <w:color w:val="FFFFFF"/>
                <w:sz w:val="20"/>
              </w:rPr>
              <w:t>Field</w:t>
            </w:r>
          </w:p>
        </w:tc>
        <w:tc>
          <w:tcPr>
            <w:tcW w:type="dxa" w:w="6912"/>
            <w:shd w:val="clear" w:color="auto" w:fill="1F3A5F"/>
          </w:tcPr>
          <w:p>
            <w:r>
              <w:rPr>
                <w:b/>
                <w:color w:val="FFFFFF"/>
                <w:sz w:val="20"/>
              </w:rPr>
              <w:t>Details</w:t>
            </w:r>
          </w:p>
        </w:tc>
      </w:tr>
      <w:tr>
        <w:tc>
          <w:tcPr>
            <w:tcW w:type="dxa" w:w="2448"/>
          </w:tcPr>
          <w:p>
            <w:r>
              <w:rPr>
                <w:b/>
                <w:sz w:val="20"/>
              </w:rPr>
              <w:t>Document ID</w:t>
            </w:r>
          </w:p>
        </w:tc>
        <w:tc>
          <w:tcPr>
            <w:tcW w:type="dxa" w:w="6912"/>
          </w:tcPr>
          <w:p>
            <w:r>
              <w:rPr>
                <w:b w:val="0"/>
                <w:i w:val="0"/>
              </w:rPr>
              <w:t>[ORG]</w:t>
            </w:r>
            <w:r>
              <w:rPr>
                <w:b w:val="0"/>
                <w:i w:val="0"/>
              </w:rPr>
              <w:t>-ROPA-001</w:t>
            </w:r>
          </w:p>
        </w:tc>
      </w:tr>
      <w:tr>
        <w:tc>
          <w:tcPr>
            <w:tcW w:type="dxa" w:w="2448"/>
            <w:shd w:val="clear" w:color="auto" w:fill="EAF0F8"/>
          </w:tcPr>
          <w:p>
            <w:r>
              <w:rPr>
                <w:b/>
                <w:sz w:val="20"/>
              </w:rPr>
              <w:t>Version</w:t>
            </w:r>
          </w:p>
        </w:tc>
        <w:tc>
          <w:tcPr>
            <w:tcW w:type="dxa" w:w="6912"/>
            <w:shd w:val="clear" w:color="auto" w:fill="EAF0F8"/>
          </w:tcPr>
          <w:p>
            <w:r>
              <w:rPr>
                <w:b w:val="0"/>
                <w:i w:val="0"/>
              </w:rPr>
              <w:t>1.0</w:t>
            </w:r>
          </w:p>
        </w:tc>
      </w:tr>
      <w:tr>
        <w:tc>
          <w:tcPr>
            <w:tcW w:type="dxa" w:w="2448"/>
          </w:tcPr>
          <w:p>
            <w:r>
              <w:rPr>
                <w:b/>
                <w:sz w:val="20"/>
              </w:rPr>
              <w:t>Owner</w:t>
            </w:r>
          </w:p>
        </w:tc>
        <w:tc>
          <w:tcPr>
            <w:tcW w:type="dxa" w:w="6912"/>
          </w:tcPr>
          <w:p>
            <w:r>
              <w:rPr>
                <w:b w:val="0"/>
                <w:i w:val="0"/>
              </w:rPr>
              <w:t>Data Protection Officer (DPO)</w:t>
            </w:r>
          </w:p>
        </w:tc>
      </w:tr>
      <w:tr>
        <w:tc>
          <w:tcPr>
            <w:tcW w:type="dxa" w:w="2448"/>
            <w:shd w:val="clear" w:color="auto" w:fill="EAF0F8"/>
          </w:tcPr>
          <w:p>
            <w:r>
              <w:rPr>
                <w:b/>
                <w:sz w:val="20"/>
              </w:rPr>
              <w:t>Approved By</w:t>
            </w:r>
          </w:p>
        </w:tc>
        <w:tc>
          <w:tcPr>
            <w:tcW w:type="dxa" w:w="6912"/>
            <w:shd w:val="clear" w:color="auto" w:fill="EAF0F8"/>
          </w:tcPr>
          <w:p>
            <w:r>
              <w:rPr>
                <w:b w:val="0"/>
                <w:i w:val="0"/>
              </w:rPr>
              <w:t>Data Protection Officer</w:t>
            </w:r>
          </w:p>
        </w:tc>
      </w:tr>
      <w:tr>
        <w:tc>
          <w:tcPr>
            <w:tcW w:type="dxa" w:w="2448"/>
          </w:tcPr>
          <w:p>
            <w:r>
              <w:rPr>
                <w:b/>
                <w:sz w:val="20"/>
              </w:rPr>
              <w:t>Effective Date</w:t>
            </w:r>
          </w:p>
        </w:tc>
        <w:tc>
          <w:tcPr>
            <w:tcW w:type="dxa" w:w="6912"/>
          </w:tcPr>
          <w:p>
            <w:r>
              <w:rPr>
                <w:u/>
              </w:rPr>
              <w:fldChar w:fldCharType="begin"/>
              <w:instrText xml:space="preserve"> FORMTEXT </w:instrText>
              <w:fldChar w:fldCharType="separate"/>
              <w:t>                             </w:t>
              <w:fldChar w:fldCharType="end"/>
            </w:r>
          </w:p>
        </w:tc>
      </w:tr>
      <w:tr>
        <w:tc>
          <w:tcPr>
            <w:tcW w:type="dxa" w:w="2448"/>
            <w:shd w:val="clear" w:color="auto" w:fill="EAF0F8"/>
          </w:tcPr>
          <w:p>
            <w:r>
              <w:rPr>
                <w:b/>
                <w:sz w:val="20"/>
              </w:rPr>
              <w:t>Review Cycle</w:t>
            </w:r>
          </w:p>
        </w:tc>
        <w:tc>
          <w:tcPr>
            <w:tcW w:type="dxa" w:w="6912"/>
            <w:shd w:val="clear" w:color="auto" w:fill="EAF0F8"/>
          </w:tcPr>
          <w:p>
            <w:r>
              <w:rPr>
                <w:b w:val="0"/>
                <w:i w:val="0"/>
              </w:rPr>
              <w:t>Annual (or when processing changes)</w:t>
            </w:r>
          </w:p>
        </w:tc>
      </w:tr>
      <w:tr>
        <w:tc>
          <w:tcPr>
            <w:tcW w:type="dxa" w:w="2448"/>
          </w:tcPr>
          <w:p>
            <w:r>
              <w:rPr>
                <w:b/>
                <w:sz w:val="20"/>
              </w:rPr>
              <w:t>Related</w:t>
            </w:r>
          </w:p>
        </w:tc>
        <w:tc>
          <w:tcPr>
            <w:tcW w:type="dxa" w:w="6912"/>
          </w:tcPr>
          <w:p>
            <w:r>
              <w:rPr>
                <w:b w:val="0"/>
                <w:i w:val="0"/>
              </w:rPr>
              <w:t>DPIA Register, Retention Policy, Processor Register</w:t>
            </w:r>
          </w:p>
        </w:tc>
      </w:tr>
    </w:tbl>
    <w:p>
      <w:pPr>
        <w:spacing w:after="120"/>
        <w:ind w:left="360"/>
      </w:pPr>
      <w:r>
        <w:rPr>
          <w:b/>
          <w:i/>
        </w:rPr>
        <w:t>Purpose: The ROPA is the organization's inventory of personal data processing, required by Article 30 of the GDPR (in force 2018). It demonstrates accountability, supports data subject rights, and is the first document a supervisory authority requests during an investigation or audit.</w:t>
      </w:r>
    </w:p>
    <w:p>
      <w:pPr>
        <w:spacing w:after="120"/>
        <w:ind w:left="360"/>
      </w:pPr>
      <w:r>
        <w:rPr>
          <w:b/>
          <w:i/>
        </w:rPr>
        <w:t>How to use this template: Complete one row per processing activity in Section 2. Keep the register current — Article 30 requires it to be available to the supervisory authority on request. Never delete historical rows; mark them superseded.</w:t>
      </w:r>
    </w:p>
    <w:p>
      <w:pPr>
        <w:spacing w:before="160" w:after="120"/>
      </w:pPr>
      <w:r>
        <w:rPr>
          <w:rFonts w:ascii="Georgia" w:hAnsi="Georgia"/>
          <w:b/>
          <w:color w:val="1F3A5F"/>
          <w:sz w:val="28"/>
        </w:rPr>
        <w:t>1. CONTROLLER AND PROCESSOR IDENTIFICATION</w:t>
      </w:r>
    </w:p>
    <w:p>
      <w:pPr>
        <w:spacing w:after="80" w:before="0"/>
      </w:pPr>
      <w:r>
        <w:rPr>
          <w:b w:val="0"/>
          <w:i w:val="0"/>
          <w:sz w:val="21"/>
        </w:rPr>
        <w:t>1.1. **Data Controller:**</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4802"/>
        <w:gridCol w:w="4802"/>
      </w:tblGrid>
      <w:tr>
        <w:tc>
          <w:tcPr>
            <w:tcW w:type="dxa" w:w="4802"/>
            <w:shd w:val="clear" w:color="auto" w:fill="1F3A5F"/>
          </w:tcPr>
          <w:p>
            <w:r>
              <w:rPr>
                <w:b/>
                <w:color w:val="FFFFFF"/>
                <w:sz w:val="19"/>
              </w:rPr>
            </w:r>
            <w:r>
              <w:rPr>
                <w:b/>
                <w:i w:val="0"/>
                <w:color w:val="FFFFFF"/>
                <w:sz w:val="19"/>
              </w:rPr>
              <w:t>Field</w:t>
            </w:r>
          </w:p>
        </w:tc>
        <w:tc>
          <w:tcPr>
            <w:tcW w:type="dxa" w:w="4802"/>
            <w:shd w:val="clear" w:color="auto" w:fill="1F3A5F"/>
          </w:tcPr>
          <w:p>
            <w:r>
              <w:rPr>
                <w:b/>
                <w:color w:val="FFFFFF"/>
                <w:sz w:val="19"/>
              </w:rPr>
            </w:r>
            <w:r>
              <w:rPr>
                <w:b/>
                <w:i w:val="0"/>
                <w:color w:val="FFFFFF"/>
                <w:sz w:val="19"/>
              </w:rPr>
              <w:t>Details</w:t>
            </w:r>
          </w:p>
        </w:tc>
      </w:tr>
      <w:tr>
        <w:tc>
          <w:tcPr>
            <w:tcW w:type="dxa" w:w="4802"/>
          </w:tcPr>
          <w:p>
            <w:r/>
            <w:r>
              <w:rPr>
                <w:b w:val="0"/>
                <w:i w:val="0"/>
              </w:rPr>
              <w:t>Name</w:t>
            </w:r>
          </w:p>
        </w:tc>
        <w:tc>
          <w:tcPr>
            <w:tcW w:type="dxa" w:w="4802"/>
          </w:tcPr>
          <w:p>
            <w:r/>
            <w:r>
              <w:rPr>
                <w:u/>
              </w:rPr>
              <w:fldChar w:fldCharType="begin"/>
              <w:instrText xml:space="preserve"> FORMTEXT </w:instrText>
              <w:fldChar w:fldCharType="separate"/>
              <w:t>                             </w:t>
              <w:fldChar w:fldCharType="end"/>
            </w:r>
          </w:p>
        </w:tc>
      </w:tr>
      <w:tr>
        <w:tc>
          <w:tcPr>
            <w:tcW w:type="dxa" w:w="4802"/>
            <w:shd w:val="clear" w:color="auto" w:fill="EAF0F8"/>
          </w:tcPr>
          <w:p>
            <w:r/>
            <w:r>
              <w:rPr>
                <w:b w:val="0"/>
                <w:i w:val="0"/>
              </w:rPr>
              <w:t>Address</w:t>
            </w:r>
          </w:p>
        </w:tc>
        <w:tc>
          <w:tcPr>
            <w:tcW w:type="dxa" w:w="4802"/>
            <w:shd w:val="clear" w:color="auto" w:fill="EAF0F8"/>
          </w:tcPr>
          <w:p>
            <w:r/>
            <w:r>
              <w:rPr>
                <w:u/>
              </w:rPr>
              <w:fldChar w:fldCharType="begin"/>
              <w:instrText xml:space="preserve"> FORMTEXT </w:instrText>
              <w:fldChar w:fldCharType="separate"/>
              <w:t>                             </w:t>
              <w:fldChar w:fldCharType="end"/>
            </w:r>
          </w:p>
        </w:tc>
      </w:tr>
      <w:tr>
        <w:tc>
          <w:tcPr>
            <w:tcW w:type="dxa" w:w="4802"/>
          </w:tcPr>
          <w:p>
            <w:r/>
            <w:r>
              <w:rPr>
                <w:b w:val="0"/>
                <w:i w:val="0"/>
              </w:rPr>
              <w:t>Contact</w:t>
            </w:r>
          </w:p>
        </w:tc>
        <w:tc>
          <w:tcPr>
            <w:tcW w:type="dxa" w:w="4802"/>
          </w:tcPr>
          <w:p>
            <w:r/>
            <w:r>
              <w:rPr>
                <w:u/>
              </w:rPr>
              <w:fldChar w:fldCharType="begin"/>
              <w:instrText xml:space="preserve"> FORMTEXT </w:instrText>
              <w:fldChar w:fldCharType="separate"/>
              <w:t>                             </w:t>
              <w:fldChar w:fldCharType="end"/>
            </w:r>
          </w:p>
        </w:tc>
      </w:tr>
      <w:tr>
        <w:tc>
          <w:tcPr>
            <w:tcW w:type="dxa" w:w="4802"/>
            <w:shd w:val="clear" w:color="auto" w:fill="EAF0F8"/>
          </w:tcPr>
          <w:p>
            <w:r/>
            <w:r>
              <w:rPr>
                <w:b w:val="0"/>
                <w:i w:val="0"/>
              </w:rPr>
              <w:t>Representative (if non-EU)</w:t>
            </w:r>
          </w:p>
        </w:tc>
        <w:tc>
          <w:tcPr>
            <w:tcW w:type="dxa" w:w="4802"/>
            <w:shd w:val="clear" w:color="auto" w:fill="EAF0F8"/>
          </w:tcPr>
          <w:p>
            <w:r/>
            <w:r>
              <w:rPr>
                <w:u/>
              </w:rPr>
              <w:fldChar w:fldCharType="begin"/>
              <w:instrText xml:space="preserve"> FORMTEXT </w:instrText>
              <w:fldChar w:fldCharType="separate"/>
              <w:t>                             </w:t>
              <w:fldChar w:fldCharType="end"/>
            </w:r>
          </w:p>
        </w:tc>
      </w:tr>
    </w:tbl>
    <w:p>
      <w:pPr>
        <w:spacing w:after="40"/>
      </w:pPr>
    </w:p>
    <w:p>
      <w:pPr>
        <w:spacing w:after="80" w:before="0"/>
      </w:pPr>
      <w:r>
        <w:rPr>
          <w:b w:val="0"/>
          <w:i w:val="0"/>
          <w:sz w:val="21"/>
        </w:rPr>
        <w:t xml:space="preserve">1.2. **Data Processor(s) acting on behalf of the Controller:** </w:t>
      </w:r>
      <w:r>
        <w:rPr>
          <w:b w:val="0"/>
          <w:i w:val="0"/>
          <w:sz w:val="21"/>
        </w:rPr>
        <w:t xml:space="preserve">List processors, their role, and the processing they perform: </w:t>
      </w:r>
      <w:r>
        <w:rPr>
          <w:b w:val="0"/>
          <w:i w:val="0"/>
          <w:sz w:val="21"/>
          <w:u/>
        </w:rPr>
        <w:fldChar w:fldCharType="begin"/>
        <w:instrText xml:space="preserve"> FORMTEXT </w:instrText>
        <w:fldChar w:fldCharType="separate"/>
        <w:t>                             </w:t>
        <w:fldChar w:fldCharType="end"/>
      </w:r>
    </w:p>
    <w:p>
      <w:pPr>
        <w:spacing w:after="80" w:before="0"/>
      </w:pPr>
      <w:r>
        <w:rPr>
          <w:b w:val="0"/>
          <w:i w:val="0"/>
          <w:sz w:val="21"/>
        </w:rPr>
        <w:t xml:space="preserve">1.3. **Data Protection Officer:** Name </w:t>
      </w:r>
      <w:r>
        <w:rPr>
          <w:b w:val="0"/>
          <w:i w:val="0"/>
          <w:sz w:val="21"/>
          <w:u/>
        </w:rPr>
        <w:fldChar w:fldCharType="begin"/>
        <w:instrText xml:space="preserve"> FORMTEXT </w:instrText>
        <w:fldChar w:fldCharType="separate"/>
        <w:t>                             </w:t>
        <w:fldChar w:fldCharType="end"/>
      </w:r>
      <w:r>
        <w:rPr>
          <w:b w:val="0"/>
          <w:i w:val="0"/>
          <w:sz w:val="21"/>
        </w:rPr>
        <w:t xml:space="preserve">, email </w:t>
      </w:r>
      <w:r>
        <w:rPr>
          <w:b w:val="0"/>
          <w:i w:val="0"/>
          <w:sz w:val="21"/>
          <w:u/>
        </w:rPr>
        <w:fldChar w:fldCharType="begin"/>
        <w:instrText xml:space="preserve"> FORMTEXT </w:instrText>
        <w:fldChar w:fldCharType="separate"/>
        <w:t>                             </w:t>
        <w:fldChar w:fldCharType="end"/>
      </w:r>
      <w:r>
        <w:rPr>
          <w:b w:val="0"/>
          <w:i w:val="0"/>
          <w:sz w:val="21"/>
        </w:rPr>
        <w:t xml:space="preserve">, appointed in accordance with Article 37 GDPR. </w:t>
      </w:r>
      <w:r>
        <w:rPr>
          <w:b w:val="0"/>
          <w:i w:val="0"/>
          <w:sz w:val="21"/>
        </w:rPr>
        <w:t xml:space="preserve">State whether the appointment is mandatory or voluntary: </w:t>
      </w:r>
      <w:r>
        <w:rPr>
          <w:b w:val="0"/>
          <w:i w:val="0"/>
          <w:sz w:val="21"/>
          <w:u/>
        </w:rPr>
        <w:fldChar w:fldCharType="begin"/>
        <w:instrText xml:space="preserve"> FORMTEXT </w:instrText>
        <w:fldChar w:fldCharType="separate"/>
        <w:t>                             </w:t>
        <w:fldChar w:fldCharType="end"/>
      </w:r>
    </w:p>
    <w:p>
      <w:pPr>
        <w:spacing w:after="80" w:before="0"/>
      </w:pPr>
      <w:r>
        <w:rPr>
          <w:b w:val="0"/>
          <w:i w:val="0"/>
          <w:sz w:val="21"/>
        </w:rPr>
        <w:t xml:space="preserve">1.4. **Joint controllership arrangements:** </w:t>
      </w:r>
      <w:r>
        <w:rPr>
          <w:b w:val="0"/>
          <w:i w:val="0"/>
          <w:sz w:val="21"/>
        </w:rPr>
        <w:t xml:space="preserve">If applicable, summarize the arrangement and where its essence is set out: </w:t>
      </w:r>
      <w:r>
        <w:rPr>
          <w:b w:val="0"/>
          <w:i w:val="0"/>
          <w:sz w:val="21"/>
          <w:u/>
        </w:rPr>
        <w:fldChar w:fldCharType="begin"/>
        <w:instrText xml:space="preserve"> FORMTEXT </w:instrText>
        <w:fldChar w:fldCharType="separate"/>
        <w:t>                             </w:t>
        <w:fldChar w:fldCharType="end"/>
      </w:r>
    </w:p>
    <w:p>
      <w:pPr>
        <w:spacing w:before="160" w:after="120"/>
      </w:pPr>
      <w:r>
        <w:rPr>
          <w:rFonts w:ascii="Georgia" w:hAnsi="Georgia"/>
          <w:b/>
          <w:color w:val="1F3A5F"/>
          <w:sz w:val="28"/>
        </w:rPr>
        <w:t>2. RECORD OF PROCESSING ACTIVITIES</w:t>
      </w:r>
    </w:p>
    <w:p>
      <w:pPr>
        <w:spacing w:after="80" w:before="0"/>
      </w:pPr>
      <w:r>
        <w:rPr>
          <w:b w:val="0"/>
          <w:i w:val="0"/>
          <w:sz w:val="21"/>
        </w:rPr>
        <w:t>2.1. One row per processing activity:</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1201"/>
        <w:gridCol w:w="1201"/>
        <w:gridCol w:w="1201"/>
        <w:gridCol w:w="1201"/>
        <w:gridCol w:w="1201"/>
        <w:gridCol w:w="1201"/>
        <w:gridCol w:w="1201"/>
        <w:gridCol w:w="1201"/>
      </w:tblGrid>
      <w:tr>
        <w:tc>
          <w:tcPr>
            <w:tcW w:type="dxa" w:w="1201"/>
            <w:shd w:val="clear" w:color="auto" w:fill="1F3A5F"/>
          </w:tcPr>
          <w:p>
            <w:r>
              <w:rPr>
                <w:b/>
                <w:color w:val="FFFFFF"/>
                <w:sz w:val="19"/>
              </w:rPr>
            </w:r>
            <w:r>
              <w:rPr>
                <w:b/>
                <w:i w:val="0"/>
                <w:color w:val="FFFFFF"/>
                <w:sz w:val="19"/>
              </w:rPr>
              <w:t>#</w:t>
            </w:r>
          </w:p>
        </w:tc>
        <w:tc>
          <w:tcPr>
            <w:tcW w:type="dxa" w:w="1201"/>
            <w:shd w:val="clear" w:color="auto" w:fill="1F3A5F"/>
          </w:tcPr>
          <w:p>
            <w:r>
              <w:rPr>
                <w:b/>
                <w:color w:val="FFFFFF"/>
                <w:sz w:val="19"/>
              </w:rPr>
            </w:r>
            <w:r>
              <w:rPr>
                <w:b/>
                <w:i w:val="0"/>
                <w:color w:val="FFFFFF"/>
                <w:sz w:val="19"/>
              </w:rPr>
              <w:t>Purpose</w:t>
            </w:r>
          </w:p>
        </w:tc>
        <w:tc>
          <w:tcPr>
            <w:tcW w:type="dxa" w:w="1201"/>
            <w:shd w:val="clear" w:color="auto" w:fill="1F3A5F"/>
          </w:tcPr>
          <w:p>
            <w:r>
              <w:rPr>
                <w:b/>
                <w:color w:val="FFFFFF"/>
                <w:sz w:val="19"/>
              </w:rPr>
            </w:r>
            <w:r>
              <w:rPr>
                <w:b/>
                <w:i w:val="0"/>
                <w:color w:val="FFFFFF"/>
                <w:sz w:val="19"/>
              </w:rPr>
              <w:t>Legal Basis (Art. 6)</w:t>
            </w:r>
          </w:p>
        </w:tc>
        <w:tc>
          <w:tcPr>
            <w:tcW w:type="dxa" w:w="1201"/>
            <w:shd w:val="clear" w:color="auto" w:fill="1F3A5F"/>
          </w:tcPr>
          <w:p>
            <w:r>
              <w:rPr>
                <w:b/>
                <w:color w:val="FFFFFF"/>
                <w:sz w:val="19"/>
              </w:rPr>
            </w:r>
            <w:r>
              <w:rPr>
                <w:b/>
                <w:i w:val="0"/>
                <w:color w:val="FFFFFF"/>
                <w:sz w:val="19"/>
              </w:rPr>
              <w:t>Data Categories</w:t>
            </w:r>
          </w:p>
        </w:tc>
        <w:tc>
          <w:tcPr>
            <w:tcW w:type="dxa" w:w="1201"/>
            <w:shd w:val="clear" w:color="auto" w:fill="1F3A5F"/>
          </w:tcPr>
          <w:p>
            <w:r>
              <w:rPr>
                <w:b/>
                <w:color w:val="FFFFFF"/>
                <w:sz w:val="19"/>
              </w:rPr>
            </w:r>
            <w:r>
              <w:rPr>
                <w:b/>
                <w:i w:val="0"/>
                <w:color w:val="FFFFFF"/>
                <w:sz w:val="19"/>
              </w:rPr>
              <w:t>Data Subjects</w:t>
            </w:r>
          </w:p>
        </w:tc>
        <w:tc>
          <w:tcPr>
            <w:tcW w:type="dxa" w:w="1201"/>
            <w:shd w:val="clear" w:color="auto" w:fill="1F3A5F"/>
          </w:tcPr>
          <w:p>
            <w:r>
              <w:rPr>
                <w:b/>
                <w:color w:val="FFFFFF"/>
                <w:sz w:val="19"/>
              </w:rPr>
            </w:r>
            <w:r>
              <w:rPr>
                <w:b/>
                <w:i w:val="0"/>
                <w:color w:val="FFFFFF"/>
                <w:sz w:val="19"/>
              </w:rPr>
              <w:t>Retention</w:t>
            </w:r>
          </w:p>
        </w:tc>
        <w:tc>
          <w:tcPr>
            <w:tcW w:type="dxa" w:w="1201"/>
            <w:shd w:val="clear" w:color="auto" w:fill="1F3A5F"/>
          </w:tcPr>
          <w:p>
            <w:r>
              <w:rPr>
                <w:b/>
                <w:color w:val="FFFFFF"/>
                <w:sz w:val="19"/>
              </w:rPr>
            </w:r>
            <w:r>
              <w:rPr>
                <w:b/>
                <w:i w:val="0"/>
                <w:color w:val="FFFFFF"/>
                <w:sz w:val="19"/>
              </w:rPr>
              <w:t>Recipients</w:t>
            </w:r>
          </w:p>
        </w:tc>
        <w:tc>
          <w:tcPr>
            <w:tcW w:type="dxa" w:w="1201"/>
            <w:shd w:val="clear" w:color="auto" w:fill="1F3A5F"/>
          </w:tcPr>
          <w:p>
            <w:r>
              <w:rPr>
                <w:b/>
                <w:color w:val="FFFFFF"/>
                <w:sz w:val="19"/>
              </w:rPr>
            </w:r>
            <w:r>
              <w:rPr>
                <w:b/>
                <w:i w:val="0"/>
                <w:color w:val="FFFFFF"/>
                <w:sz w:val="19"/>
              </w:rPr>
              <w:t>Transfers (outside EEA)</w:t>
            </w:r>
          </w:p>
        </w:tc>
      </w:tr>
      <w:tr>
        <w:tc>
          <w:tcPr>
            <w:tcW w:type="dxa" w:w="1201"/>
          </w:tcPr>
          <w:p>
            <w:r/>
            <w:r>
              <w:rPr>
                <w:b w:val="0"/>
                <w:i w:val="0"/>
              </w:rPr>
              <w:t>:-</w:t>
            </w:r>
          </w:p>
        </w:tc>
        <w:tc>
          <w:tcPr>
            <w:tcW w:type="dxa" w:w="1201"/>
          </w:tcPr>
          <w:p>
            <w:r/>
            <w:r>
              <w:rPr>
                <w:b w:val="0"/>
                <w:i w:val="0"/>
              </w:rPr>
              <w:t>:------</w:t>
            </w:r>
          </w:p>
        </w:tc>
        <w:tc>
          <w:tcPr>
            <w:tcW w:type="dxa" w:w="1201"/>
          </w:tcPr>
          <w:p>
            <w:r/>
            <w:r>
              <w:rPr>
                <w:b w:val="0"/>
                <w:i w:val="0"/>
              </w:rPr>
              <w:t>:-------------------</w:t>
            </w:r>
          </w:p>
        </w:tc>
        <w:tc>
          <w:tcPr>
            <w:tcW w:type="dxa" w:w="1201"/>
          </w:tcPr>
          <w:p>
            <w:r/>
            <w:r>
              <w:rPr>
                <w:b w:val="0"/>
                <w:i w:val="0"/>
              </w:rPr>
              <w:t>:--------------</w:t>
            </w:r>
          </w:p>
        </w:tc>
        <w:tc>
          <w:tcPr>
            <w:tcW w:type="dxa" w:w="1201"/>
          </w:tcPr>
          <w:p>
            <w:r/>
            <w:r>
              <w:rPr>
                <w:b w:val="0"/>
                <w:i w:val="0"/>
              </w:rPr>
              <w:t>:------------</w:t>
            </w:r>
          </w:p>
        </w:tc>
        <w:tc>
          <w:tcPr>
            <w:tcW w:type="dxa" w:w="1201"/>
          </w:tcPr>
          <w:p>
            <w:r/>
            <w:r>
              <w:rPr>
                <w:b w:val="0"/>
                <w:i w:val="0"/>
              </w:rPr>
              <w:t>:--------</w:t>
            </w:r>
          </w:p>
        </w:tc>
        <w:tc>
          <w:tcPr>
            <w:tcW w:type="dxa" w:w="1201"/>
          </w:tcPr>
          <w:p>
            <w:r/>
            <w:r>
              <w:rPr>
                <w:b w:val="0"/>
                <w:i w:val="0"/>
              </w:rPr>
              <w:t>:---------</w:t>
            </w:r>
          </w:p>
        </w:tc>
        <w:tc>
          <w:tcPr>
            <w:tcW w:type="dxa" w:w="1201"/>
          </w:tcPr>
          <w:p>
            <w:r/>
            <w:r>
              <w:rPr>
                <w:b w:val="0"/>
                <w:i w:val="0"/>
              </w:rPr>
              <w:t>:----------------------</w:t>
            </w:r>
          </w:p>
        </w:tc>
      </w:tr>
      <w:tr>
        <w:tc>
          <w:tcPr>
            <w:tcW w:type="dxa" w:w="1201"/>
            <w:shd w:val="clear" w:color="auto" w:fill="EAF0F8"/>
          </w:tcPr>
          <w:p>
            <w:r/>
            <w:r>
              <w:rPr>
                <w:b w:val="0"/>
                <w:i w:val="0"/>
              </w:rPr>
              <w:t>1</w:t>
            </w:r>
          </w:p>
        </w:tc>
        <w:tc>
          <w:tcPr>
            <w:tcW w:type="dxa" w:w="1201"/>
            <w:shd w:val="clear" w:color="auto" w:fill="EAF0F8"/>
          </w:tcPr>
          <w:p>
            <w:r/>
            <w:r>
              <w:rPr>
                <w:u/>
              </w:rPr>
              <w:fldChar w:fldCharType="begin"/>
              <w:instrText xml:space="preserve"> FORMTEXT </w:instrText>
              <w:fldChar w:fldCharType="separate"/>
              <w:t>                             </w:t>
              <w:fldChar w:fldCharType="end"/>
            </w:r>
          </w:p>
        </w:tc>
        <w:tc>
          <w:tcPr>
            <w:tcW w:type="dxa" w:w="1201"/>
            <w:shd w:val="clear" w:color="auto" w:fill="EAF0F8"/>
          </w:tcPr>
          <w:p>
            <w:r/>
            <w:r>
              <w:rPr>
                <w:b w:val="0"/>
                <w:i w:val="0"/>
              </w:rPr>
              <w:t>[6(1)(a) consent / 6(1)(b) contract / 6(1)(c) legal obligation / 6(1)(f) legitimate interests]</w:t>
            </w:r>
          </w:p>
        </w:tc>
        <w:tc>
          <w:tcPr>
            <w:tcW w:type="dxa" w:w="1201"/>
            <w:shd w:val="clear" w:color="auto" w:fill="EAF0F8"/>
          </w:tcPr>
          <w:p>
            <w:r/>
            <w:r>
              <w:rPr>
                <w:b w:val="0"/>
                <w:i w:val="0"/>
              </w:rPr>
              <w:t>[e.g., identity, contact, financial]</w:t>
            </w:r>
          </w:p>
        </w:tc>
        <w:tc>
          <w:tcPr>
            <w:tcW w:type="dxa" w:w="1201"/>
            <w:shd w:val="clear" w:color="auto" w:fill="EAF0F8"/>
          </w:tcPr>
          <w:p>
            <w:r/>
            <w:r>
              <w:rPr>
                <w:b w:val="0"/>
                <w:i w:val="0"/>
              </w:rPr>
              <w:t>[e.g., employees, customers]</w:t>
            </w:r>
          </w:p>
        </w:tc>
        <w:tc>
          <w:tcPr>
            <w:tcW w:type="dxa" w:w="1201"/>
            <w:shd w:val="clear" w:color="auto" w:fill="EAF0F8"/>
          </w:tcPr>
          <w:p>
            <w:r/>
            <w:r>
              <w:rPr>
                <w:b w:val="0"/>
                <w:i w:val="0"/>
              </w:rPr>
              <w:t>[e.g., 5 years after contract end]</w:t>
            </w:r>
          </w:p>
        </w:tc>
        <w:tc>
          <w:tcPr>
            <w:tcW w:type="dxa" w:w="1201"/>
            <w:shd w:val="clear" w:color="auto" w:fill="EAF0F8"/>
          </w:tcPr>
          <w:p>
            <w:r/>
            <w:r>
              <w:rPr>
                <w:b w:val="0"/>
                <w:i w:val="0"/>
              </w:rPr>
              <w:t>[e.g., payroll provider]</w:t>
            </w:r>
          </w:p>
        </w:tc>
        <w:tc>
          <w:tcPr>
            <w:tcW w:type="dxa" w:w="1201"/>
            <w:shd w:val="clear" w:color="auto" w:fill="EAF0F8"/>
          </w:tcPr>
          <w:p>
            <w:r/>
            <w:r>
              <w:rPr>
                <w:b w:val="0"/>
                <w:i w:val="0"/>
              </w:rPr>
              <w:t>[e.g., US — SCCs]</w:t>
            </w:r>
          </w:p>
        </w:tc>
      </w:tr>
      <w:tr>
        <w:tc>
          <w:tcPr>
            <w:tcW w:type="dxa" w:w="1201"/>
          </w:tcPr>
          <w:p>
            <w:r/>
            <w:r>
              <w:rPr>
                <w:b w:val="0"/>
                <w:i w:val="0"/>
              </w:rPr>
              <w:t>2</w:t>
            </w:r>
          </w:p>
        </w:tc>
        <w:tc>
          <w:tcPr>
            <w:tcW w:type="dxa" w:w="1201"/>
          </w:tcPr>
          <w:p>
            <w:r/>
            <w:r>
              <w:rPr>
                <w:u/>
              </w:rPr>
              <w:fldChar w:fldCharType="begin"/>
              <w:instrText xml:space="preserve"> FORMTEXT </w:instrText>
              <w:fldChar w:fldCharType="separate"/>
              <w:t>                             </w:t>
              <w:fldChar w:fldCharType="end"/>
            </w:r>
          </w:p>
        </w:tc>
        <w:tc>
          <w:tcPr>
            <w:tcW w:type="dxa" w:w="1201"/>
          </w:tcPr>
          <w:p>
            <w:r/>
            <w:r>
              <w:rPr>
                <w:u/>
              </w:rPr>
              <w:fldChar w:fldCharType="begin"/>
              <w:instrText xml:space="preserve"> FORMTEXT </w:instrText>
              <w:fldChar w:fldCharType="separate"/>
              <w:t>                             </w:t>
              <w:fldChar w:fldCharType="end"/>
            </w:r>
          </w:p>
        </w:tc>
        <w:tc>
          <w:tcPr>
            <w:tcW w:type="dxa" w:w="1201"/>
          </w:tcPr>
          <w:p>
            <w:r/>
            <w:r>
              <w:rPr>
                <w:u/>
              </w:rPr>
              <w:fldChar w:fldCharType="begin"/>
              <w:instrText xml:space="preserve"> FORMTEXT </w:instrText>
              <w:fldChar w:fldCharType="separate"/>
              <w:t>                             </w:t>
              <w:fldChar w:fldCharType="end"/>
            </w:r>
          </w:p>
        </w:tc>
        <w:tc>
          <w:tcPr>
            <w:tcW w:type="dxa" w:w="1201"/>
          </w:tcPr>
          <w:p>
            <w:r/>
            <w:r>
              <w:rPr>
                <w:u/>
              </w:rPr>
              <w:fldChar w:fldCharType="begin"/>
              <w:instrText xml:space="preserve"> FORMTEXT </w:instrText>
              <w:fldChar w:fldCharType="separate"/>
              <w:t>                             </w:t>
              <w:fldChar w:fldCharType="end"/>
            </w:r>
          </w:p>
        </w:tc>
        <w:tc>
          <w:tcPr>
            <w:tcW w:type="dxa" w:w="1201"/>
          </w:tcPr>
          <w:p>
            <w:r/>
            <w:r>
              <w:rPr>
                <w:u/>
              </w:rPr>
              <w:fldChar w:fldCharType="begin"/>
              <w:instrText xml:space="preserve"> FORMTEXT </w:instrText>
              <w:fldChar w:fldCharType="separate"/>
              <w:t>                             </w:t>
              <w:fldChar w:fldCharType="end"/>
            </w:r>
          </w:p>
        </w:tc>
        <w:tc>
          <w:tcPr>
            <w:tcW w:type="dxa" w:w="1201"/>
          </w:tcPr>
          <w:p>
            <w:r/>
            <w:r>
              <w:rPr>
                <w:u/>
              </w:rPr>
              <w:fldChar w:fldCharType="begin"/>
              <w:instrText xml:space="preserve"> FORMTEXT </w:instrText>
              <w:fldChar w:fldCharType="separate"/>
              <w:t>                             </w:t>
              <w:fldChar w:fldCharType="end"/>
            </w:r>
          </w:p>
        </w:tc>
        <w:tc>
          <w:tcPr>
            <w:tcW w:type="dxa" w:w="1201"/>
          </w:tcPr>
          <w:p>
            <w:r/>
            <w:r>
              <w:rPr>
                <w:u/>
              </w:rPr>
              <w:fldChar w:fldCharType="begin"/>
              <w:instrText xml:space="preserve"> FORMTEXT </w:instrText>
              <w:fldChar w:fldCharType="separate"/>
              <w:t>                             </w:t>
              <w:fldChar w:fldCharType="end"/>
            </w:r>
          </w:p>
        </w:tc>
      </w:tr>
    </w:tbl>
    <w:p>
      <w:pPr>
        <w:spacing w:after="40"/>
      </w:pPr>
    </w:p>
    <w:p>
      <w:pPr>
        <w:spacing w:after="80" w:before="0"/>
      </w:pPr>
      <w:r>
        <w:rPr>
          <w:b w:val="0"/>
          <w:i w:val="0"/>
          <w:sz w:val="21"/>
        </w:rPr>
        <w:t xml:space="preserve">2.2. **Special category data (Art. 9) and criminal conviction data (Art. 10)** processed: </w:t>
      </w:r>
      <w:r>
        <w:rPr>
          <w:b w:val="0"/>
          <w:i w:val="0"/>
          <w:sz w:val="21"/>
        </w:rPr>
        <w:t xml:space="preserve">List and the additional legal basis relied upon: </w:t>
      </w:r>
      <w:r>
        <w:rPr>
          <w:b w:val="0"/>
          <w:i w:val="0"/>
          <w:sz w:val="21"/>
          <w:u/>
        </w:rPr>
        <w:fldChar w:fldCharType="begin"/>
        <w:instrText xml:space="preserve"> FORMTEXT </w:instrText>
        <w:fldChar w:fldCharType="separate"/>
        <w:t>                             </w:t>
        <w:fldChar w:fldCharType="end"/>
      </w:r>
    </w:p>
    <w:p>
      <w:pPr>
        <w:spacing w:after="80" w:before="0"/>
      </w:pPr>
      <w:r>
        <w:rPr>
          <w:b w:val="0"/>
          <w:i w:val="0"/>
          <w:sz w:val="21"/>
        </w:rPr>
        <w:t xml:space="preserve">2.3. Each processing activity links to its DPIA (where required), its retention schedule row in the Data Retention Policy, and its data processing agreement or processor contract. The DPO reviews this linkage annually and records any gaps here: </w:t>
      </w:r>
      <w:r>
        <w:rPr>
          <w:b w:val="0"/>
          <w:i w:val="0"/>
          <w:sz w:val="21"/>
          <w:u/>
        </w:rPr>
        <w:fldChar w:fldCharType="begin"/>
        <w:instrText xml:space="preserve"> FORMTEXT </w:instrText>
        <w:fldChar w:fldCharType="separate"/>
        <w:t>                             </w:t>
        <w:fldChar w:fldCharType="end"/>
      </w:r>
    </w:p>
    <w:p>
      <w:pPr>
        <w:spacing w:before="160" w:after="120"/>
      </w:pPr>
      <w:r>
        <w:rPr>
          <w:rFonts w:ascii="Georgia" w:hAnsi="Georgia"/>
          <w:b/>
          <w:color w:val="1F3A5F"/>
          <w:sz w:val="28"/>
        </w:rPr>
        <w:t>3. INTERNATIONAL TRANSFER ASSESSMENT</w:t>
      </w:r>
    </w:p>
    <w:p>
      <w:pPr>
        <w:spacing w:after="80" w:before="0"/>
      </w:pPr>
      <w:r>
        <w:rPr>
          <w:b w:val="0"/>
          <w:i w:val="0"/>
          <w:sz w:val="21"/>
        </w:rPr>
        <w:t>3.1. Transfers to third countries or international organizations are recorded in Section 2 and assessed here:</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1921"/>
        <w:gridCol w:w="1921"/>
        <w:gridCol w:w="1921"/>
        <w:gridCol w:w="1921"/>
        <w:gridCol w:w="1921"/>
      </w:tblGrid>
      <w:tr>
        <w:tc>
          <w:tcPr>
            <w:tcW w:type="dxa" w:w="1921"/>
            <w:shd w:val="clear" w:color="auto" w:fill="1F3A5F"/>
          </w:tcPr>
          <w:p>
            <w:r>
              <w:rPr>
                <w:b/>
                <w:color w:val="FFFFFF"/>
                <w:sz w:val="19"/>
              </w:rPr>
            </w:r>
            <w:r>
              <w:rPr>
                <w:b/>
                <w:i w:val="0"/>
                <w:color w:val="FFFFFF"/>
                <w:sz w:val="19"/>
              </w:rPr>
              <w:t>Transfer</w:t>
            </w:r>
          </w:p>
        </w:tc>
        <w:tc>
          <w:tcPr>
            <w:tcW w:type="dxa" w:w="1921"/>
            <w:shd w:val="clear" w:color="auto" w:fill="1F3A5F"/>
          </w:tcPr>
          <w:p>
            <w:r>
              <w:rPr>
                <w:b/>
                <w:color w:val="FFFFFF"/>
                <w:sz w:val="19"/>
              </w:rPr>
            </w:r>
            <w:r>
              <w:rPr>
                <w:b/>
                <w:i w:val="0"/>
                <w:color w:val="FFFFFF"/>
                <w:sz w:val="19"/>
              </w:rPr>
              <w:t>Recipient Country</w:t>
            </w:r>
          </w:p>
        </w:tc>
        <w:tc>
          <w:tcPr>
            <w:tcW w:type="dxa" w:w="1921"/>
            <w:shd w:val="clear" w:color="auto" w:fill="1F3A5F"/>
          </w:tcPr>
          <w:p>
            <w:r>
              <w:rPr>
                <w:b/>
                <w:color w:val="FFFFFF"/>
                <w:sz w:val="19"/>
              </w:rPr>
            </w:r>
            <w:r>
              <w:rPr>
                <w:b/>
                <w:i w:val="0"/>
                <w:color w:val="FFFFFF"/>
                <w:sz w:val="19"/>
              </w:rPr>
              <w:t>Mechanism (Art. 44–49)</w:t>
            </w:r>
          </w:p>
        </w:tc>
        <w:tc>
          <w:tcPr>
            <w:tcW w:type="dxa" w:w="1921"/>
            <w:shd w:val="clear" w:color="auto" w:fill="1F3A5F"/>
          </w:tcPr>
          <w:p>
            <w:r>
              <w:rPr>
                <w:b/>
                <w:color w:val="FFFFFF"/>
                <w:sz w:val="19"/>
              </w:rPr>
            </w:r>
            <w:r>
              <w:rPr>
                <w:b/>
                <w:i w:val="0"/>
                <w:color w:val="FFFFFF"/>
                <w:sz w:val="19"/>
              </w:rPr>
              <w:t>Adequacy Decision / Safeguards</w:t>
            </w:r>
          </w:p>
        </w:tc>
        <w:tc>
          <w:tcPr>
            <w:tcW w:type="dxa" w:w="1921"/>
            <w:shd w:val="clear" w:color="auto" w:fill="1F3A5F"/>
          </w:tcPr>
          <w:p>
            <w:r>
              <w:rPr>
                <w:b/>
                <w:color w:val="FFFFFF"/>
                <w:sz w:val="19"/>
              </w:rPr>
            </w:r>
            <w:r>
              <w:rPr>
                <w:b/>
                <w:i w:val="0"/>
                <w:color w:val="FFFFFF"/>
                <w:sz w:val="19"/>
              </w:rPr>
              <w:t>TIA Status</w:t>
            </w:r>
          </w:p>
        </w:tc>
      </w:tr>
      <w:tr>
        <w:tc>
          <w:tcPr>
            <w:tcW w:type="dxa" w:w="1921"/>
          </w:tcPr>
          <w:p>
            <w:r/>
            <w:r>
              <w:rPr>
                <w:u/>
              </w:rPr>
              <w:fldChar w:fldCharType="begin"/>
              <w:instrText xml:space="preserve"> FORMTEXT </w:instrText>
              <w:fldChar w:fldCharType="separate"/>
              <w:t>                             </w:t>
              <w:fldChar w:fldCharType="end"/>
            </w:r>
          </w:p>
        </w:tc>
        <w:tc>
          <w:tcPr>
            <w:tcW w:type="dxa" w:w="1921"/>
          </w:tcPr>
          <w:p>
            <w:r/>
            <w:r>
              <w:rPr>
                <w:u/>
              </w:rPr>
              <w:fldChar w:fldCharType="begin"/>
              <w:instrText xml:space="preserve"> FORMTEXT </w:instrText>
              <w:fldChar w:fldCharType="separate"/>
              <w:t>                             </w:t>
              <w:fldChar w:fldCharType="end"/>
            </w:r>
          </w:p>
        </w:tc>
        <w:tc>
          <w:tcPr>
            <w:tcW w:type="dxa" w:w="1921"/>
          </w:tcPr>
          <w:p>
            <w:r/>
            <w:r>
              <w:fldChar w:fldCharType="begin"/>
              <w:fldPr>
                <w:ffData>
                  <w:ffName w:val="SCCs"/>
                  <w:ffName w:val="adequacy"/>
                  <w:ffName w:val="derogation"/>
                </w:ffData>
              </w:fldPr>
              <w:instrText xml:space="preserve"> FORMDROPDOWN </w:instrText>
              <w:fldChar w:fldCharType="separate"/>
              <w:t>SCCs</w:t>
              <w:fldChar w:fldCharType="end"/>
            </w:r>
          </w:p>
        </w:tc>
        <w:tc>
          <w:tcPr>
            <w:tcW w:type="dxa" w:w="1921"/>
          </w:tcPr>
          <w:p>
            <w:r/>
            <w:r>
              <w:rPr>
                <w:u/>
              </w:rPr>
              <w:fldChar w:fldCharType="begin"/>
              <w:instrText xml:space="preserve"> FORMTEXT </w:instrText>
              <w:fldChar w:fldCharType="separate"/>
              <w:t>                             </w:t>
              <w:fldChar w:fldCharType="end"/>
            </w:r>
          </w:p>
        </w:tc>
        <w:tc>
          <w:tcPr>
            <w:tcW w:type="dxa" w:w="1921"/>
          </w:tcPr>
          <w:p>
            <w:r/>
            <w:r>
              <w:fldChar w:fldCharType="begin"/>
              <w:fldPr>
                <w:ffData>
                  <w:ffName w:val="Approved"/>
                  <w:ffName w:val="pending"/>
                  <w:ffName w:val="rejected"/>
                </w:ffData>
              </w:fldPr>
              <w:instrText xml:space="preserve"> FORMDROPDOWN </w:instrText>
              <w:fldChar w:fldCharType="separate"/>
              <w:t>Approved</w:t>
              <w:fldChar w:fldCharType="end"/>
            </w:r>
          </w:p>
        </w:tc>
      </w:tr>
    </w:tbl>
    <w:p>
      <w:pPr>
        <w:spacing w:after="40"/>
      </w:pPr>
    </w:p>
    <w:p>
      <w:pPr>
        <w:spacing w:after="80" w:before="0"/>
      </w:pPr>
      <w:r>
        <w:rPr>
          <w:b w:val="0"/>
          <w:i w:val="0"/>
          <w:sz w:val="21"/>
        </w:rPr>
        <w:t>3.2. Transfer Impact Assessments (TIAs) are maintained for each recipient and reviewed when the legal landscape of the destination country changes.</w:t>
      </w:r>
    </w:p>
    <w:p>
      <w:pPr>
        <w:spacing w:before="160" w:after="120"/>
      </w:pPr>
      <w:r>
        <w:rPr>
          <w:rFonts w:ascii="Georgia" w:hAnsi="Georgia"/>
          <w:b/>
          <w:color w:val="1F3A5F"/>
          <w:sz w:val="28"/>
        </w:rPr>
        <w:t>4. REVIEW AND MAINTENANCE</w:t>
      </w:r>
    </w:p>
    <w:p>
      <w:pPr>
        <w:spacing w:after="80" w:before="0"/>
      </w:pPr>
      <w:r>
        <w:rPr>
          <w:b w:val="0"/>
          <w:i w:val="0"/>
          <w:sz w:val="21"/>
        </w:rPr>
        <w:t>4.1. This ROPA is reviewed annually and updated whenever a new processing activity starts, an existing one changes materially, or a processor is added or replaced.</w:t>
      </w:r>
    </w:p>
    <w:p>
      <w:pPr>
        <w:spacing w:after="80" w:before="0"/>
      </w:pPr>
      <w:r>
        <w:rPr>
          <w:b w:val="0"/>
          <w:i w:val="0"/>
          <w:sz w:val="21"/>
        </w:rPr>
        <w:t>4.2. Under the Three Lines Model (IIA 2020): first-line teams notify the DPO of processing changes; the DPO (second line) maintains and quality-assures the register; internal audit (third line) samples its accuracy.</w:t>
      </w:r>
    </w:p>
    <w:p>
      <w:pPr>
        <w:spacing w:before="160" w:after="120"/>
      </w:pPr>
      <w:r>
        <w:rPr>
          <w:rFonts w:ascii="Georgia" w:hAnsi="Georgia"/>
          <w:b/>
          <w:color w:val="1F3A5F"/>
          <w:sz w:val="28"/>
        </w:rPr>
        <w:t>APPROVAL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Role</w:t>
            </w:r>
          </w:p>
        </w:tc>
        <w:tc>
          <w:tcPr>
            <w:tcW w:type="dxa" w:w="2401"/>
            <w:shd w:val="clear" w:color="auto" w:fill="1F3A5F"/>
          </w:tcPr>
          <w:p>
            <w:r>
              <w:rPr>
                <w:b/>
                <w:color w:val="FFFFFF"/>
                <w:sz w:val="19"/>
              </w:rPr>
            </w:r>
            <w:r>
              <w:rPr>
                <w:b/>
                <w:i w:val="0"/>
                <w:color w:val="FFFFFF"/>
                <w:sz w:val="19"/>
              </w:rPr>
              <w:t>Name</w:t>
            </w:r>
          </w:p>
        </w:tc>
        <w:tc>
          <w:tcPr>
            <w:tcW w:type="dxa" w:w="2401"/>
            <w:shd w:val="clear" w:color="auto" w:fill="1F3A5F"/>
          </w:tcPr>
          <w:p>
            <w:r>
              <w:rPr>
                <w:b/>
                <w:color w:val="FFFFFF"/>
                <w:sz w:val="19"/>
              </w:rPr>
            </w:r>
            <w:r>
              <w:rPr>
                <w:b/>
                <w:i w:val="0"/>
                <w:color w:val="FFFFFF"/>
                <w:sz w:val="19"/>
              </w:rPr>
              <w:t>Signature</w:t>
            </w:r>
          </w:p>
        </w:tc>
        <w:tc>
          <w:tcPr>
            <w:tcW w:type="dxa" w:w="2401"/>
            <w:shd w:val="clear" w:color="auto" w:fill="1F3A5F"/>
          </w:tcPr>
          <w:p>
            <w:r>
              <w:rPr>
                <w:b/>
                <w:color w:val="FFFFFF"/>
                <w:sz w:val="19"/>
              </w:rPr>
            </w:r>
            <w:r>
              <w:rPr>
                <w:b/>
                <w:i w:val="0"/>
                <w:color w:val="FFFFFF"/>
                <w:sz w:val="19"/>
              </w:rPr>
              <w:t>Date</w:t>
            </w:r>
          </w:p>
        </w:tc>
      </w:tr>
      <w:tr>
        <w:tc>
          <w:tcPr>
            <w:tcW w:type="dxa" w:w="2401"/>
          </w:tcPr>
          <w:p>
            <w:r/>
            <w:r>
              <w:rPr>
                <w:b w:val="0"/>
                <w:i w:val="0"/>
              </w:rPr>
              <w:t>Data Protection Officer</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r>
      <w:tr>
        <w:tc>
          <w:tcPr>
            <w:tcW w:type="dxa" w:w="2401"/>
            <w:shd w:val="clear" w:color="auto" w:fill="EAF0F8"/>
          </w:tcPr>
          <w:p>
            <w:r/>
            <w:r>
              <w:rPr>
                <w:b w:val="0"/>
                <w:i w:val="0"/>
              </w:rPr>
              <w:t>Legal Counsel</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r>
    </w:tbl>
    <w:p>
      <w:pPr>
        <w:spacing w:after="40"/>
      </w:pPr>
    </w:p>
    <w:p>
      <w:pPr>
        <w:spacing w:before="160" w:after="120"/>
      </w:pPr>
      <w:r>
        <w:rPr>
          <w:rFonts w:ascii="Georgia" w:hAnsi="Georgia"/>
          <w:b/>
          <w:color w:val="1F3A5F"/>
          <w:sz w:val="28"/>
        </w:rPr>
        <w:t>DOCUMENT CONTROL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Version</w:t>
            </w:r>
          </w:p>
        </w:tc>
        <w:tc>
          <w:tcPr>
            <w:tcW w:type="dxa" w:w="2401"/>
            <w:shd w:val="clear" w:color="auto" w:fill="1F3A5F"/>
          </w:tcPr>
          <w:p>
            <w:r>
              <w:rPr>
                <w:b/>
                <w:color w:val="FFFFFF"/>
                <w:sz w:val="19"/>
              </w:rPr>
            </w:r>
            <w:r>
              <w:rPr>
                <w:b/>
                <w:i w:val="0"/>
                <w:color w:val="FFFFFF"/>
                <w:sz w:val="19"/>
              </w:rPr>
              <w:t>Date</w:t>
            </w:r>
          </w:p>
        </w:tc>
        <w:tc>
          <w:tcPr>
            <w:tcW w:type="dxa" w:w="2401"/>
            <w:shd w:val="clear" w:color="auto" w:fill="1F3A5F"/>
          </w:tcPr>
          <w:p>
            <w:r>
              <w:rPr>
                <w:b/>
                <w:color w:val="FFFFFF"/>
                <w:sz w:val="19"/>
              </w:rPr>
            </w:r>
            <w:r>
              <w:rPr>
                <w:b/>
                <w:i w:val="0"/>
                <w:color w:val="FFFFFF"/>
                <w:sz w:val="19"/>
              </w:rPr>
              <w:t>Author</w:t>
            </w:r>
          </w:p>
        </w:tc>
        <w:tc>
          <w:tcPr>
            <w:tcW w:type="dxa" w:w="2401"/>
            <w:shd w:val="clear" w:color="auto" w:fill="1F3A5F"/>
          </w:tcPr>
          <w:p>
            <w:r>
              <w:rPr>
                <w:b/>
                <w:color w:val="FFFFFF"/>
                <w:sz w:val="19"/>
              </w:rPr>
            </w:r>
            <w:r>
              <w:rPr>
                <w:b/>
                <w:i w:val="0"/>
                <w:color w:val="FFFFFF"/>
                <w:sz w:val="19"/>
              </w:rPr>
              <w:t>Change Description</w:t>
            </w:r>
          </w:p>
        </w:tc>
      </w:tr>
      <w:tr>
        <w:tc>
          <w:tcPr>
            <w:tcW w:type="dxa" w:w="2401"/>
          </w:tcPr>
          <w:p>
            <w:r/>
            <w:r>
              <w:rPr>
                <w:b w:val="0"/>
                <w:i w:val="0"/>
              </w:rPr>
              <w:t>0.1</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b w:val="0"/>
                <w:i w:val="0"/>
              </w:rPr>
              <w:t>Initial draft</w:t>
            </w:r>
          </w:p>
        </w:tc>
      </w:tr>
      <w:tr>
        <w:tc>
          <w:tcPr>
            <w:tcW w:type="dxa" w:w="2401"/>
            <w:shd w:val="clear" w:color="auto" w:fill="EAF0F8"/>
          </w:tcPr>
          <w:p>
            <w:r/>
            <w:r>
              <w:rPr>
                <w:b w:val="0"/>
                <w:i w:val="0"/>
              </w:rPr>
              <w:t>1.0</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b w:val="0"/>
                <w:i w:val="0"/>
              </w:rPr>
              <w:t>Approved for use</w:t>
            </w:r>
          </w:p>
        </w:tc>
      </w:tr>
    </w:tbl>
    <w:p>
      <w:pPr>
        <w:spacing w:after="40"/>
      </w:pPr>
    </w:p>
    <w:p>
      <w:pPr>
        <w:spacing w:after="80" w:before="0"/>
      </w:pPr>
      <w:r>
        <w:rPr>
          <w:b w:val="0"/>
          <w:i w:val="0"/>
          <w:sz w:val="21"/>
        </w:rPr>
        <w:t>*Template from "The Governance, Risk and Compliance Architect" (Hendriksen, 2026). Adapt to your organization's context before use.*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forms" w:enforcement="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