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THIRD-PARTY EXIT STRATEGY (DORA-ALIGNED)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-TPE-XXX-001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fldChar w:fldCharType="begin"/>
              <w:fldPr>
                <w:ffData>
                  <w:ffName w:val="Third-Party Risk Manager"/>
                  <w:ffName w:val="Service Owner"/>
                </w:ffData>
              </w:fldPr>
              <w:instrText xml:space="preserve"> FORMDROPDOWN </w:instrText>
              <w:fldChar w:fldCharType="separate"/>
              <w:t>Third-Party Risk Manager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CRO"/>
                  <w:ffName w:val="CISO"/>
                </w:ffData>
              </w:fldPr>
              <w:instrText xml:space="preserve"> FORMDROPDOWN </w:instrText>
              <w:fldChar w:fldCharType="separate"/>
              <w:t>CRO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(and on material contract change)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Confidential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Exit strategy for a single ICT third-party service provider,</w:t>
      </w:r>
    </w:p>
    <w:p>
      <w:pPr>
        <w:spacing w:after="120"/>
        <w:ind w:left="360"/>
      </w:pPr>
      <w:r>
        <w:rPr>
          <w:b w:val="0"/>
          <w:i/>
        </w:rPr>
        <w:t>prepared for services supporting critical or important functions in line</w:t>
      </w:r>
    </w:p>
    <w:p>
      <w:pPr>
        <w:spacing w:after="120"/>
        <w:ind w:left="360"/>
      </w:pPr>
      <w:r>
        <w:rPr>
          <w:b w:val="0"/>
          <w:i/>
        </w:rPr>
        <w:t>with DORA (in force Jan 17, 2025), Articles 28-30. It defines how the</w:t>
      </w:r>
    </w:p>
    <w:p>
      <w:pPr>
        <w:spacing w:after="120"/>
        <w:ind w:left="360"/>
      </w:pPr>
      <w:r>
        <w:rPr>
          <w:b w:val="0"/>
          <w:i/>
        </w:rPr>
        <w:t>organization exits the relationship without disrupting critical</w:t>
      </w:r>
    </w:p>
    <w:p>
      <w:pPr>
        <w:spacing w:after="120"/>
        <w:ind w:left="360"/>
      </w:pPr>
      <w:r>
        <w:rPr>
          <w:b w:val="0"/>
          <w:i/>
        </w:rPr>
        <w:t>operations, including data return and transition to a fallback.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VENDOR AND SERVICE PROFILE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Vendor Name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Contract Reference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Service Description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Criticality Classification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Critical"/>
                  <w:ffName w:val="Important"/>
                  <w:ffName w:val="Non-critical"/>
                </w:ffData>
              </w:fldPr>
              <w:instrText xml:space="preserve"> FORMDROPDOWN </w:instrText>
              <w:fldChar w:fldCharType="separate"/>
              <w:t>Critical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Supports Critical or Important Function?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Yes/No — function: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EXIT TRIGGERS</w:t>
      </w:r>
    </w:p>
    <w:p>
      <w:pPr>
        <w:spacing w:after="40"/>
        <w:ind w:left="432"/>
      </w:pPr>
      <w:r>
        <w:rPr>
          <w:b w:val="0"/>
          <w:i w:val="0"/>
        </w:rPr>
        <w:t xml:space="preserve">Contractual: breach, insolvency, change of control: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Operational: repeated SLA failures (e.g., ___ consecutive months):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Security: material incident or failed audit: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Strategic: insourcing, cost, decommissioning: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TRANSITION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Activities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Responsible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[1. Preparation]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 xml:space="preserve">Knowledge transfer, parallel run: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[2. Migration]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Data migration, cutover: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[3. Stabilization]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 xml:space="preserve">Validation, acceptance: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DATA RETRIEVAL AND RETURN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Data to Be Returned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Format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Deadline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[Within ___ days of termination]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Deletion / Destruction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Required? Yes/No — certificate of destruction: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Exit Assistance Period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___ days, per contract clause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CONTRACTUAL EXIT CLAUSES</w:t>
      </w:r>
    </w:p>
    <w:p>
      <w:pPr>
        <w:spacing w:after="40"/>
        <w:ind w:left="432"/>
      </w:pPr>
      <w:r>
        <w:rPr>
          <w:b w:val="0"/>
          <w:i w:val="0"/>
        </w:rPr>
        <w:t xml:space="preserve">Termination for cause / convenience: clause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Notice period: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Exit assistance and cooperation obligations: clause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Data return and deletion obligations: clause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Liability caps and transition penalties: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Regulatory cooperation during exit (right to audit, information access): clause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FALLBACK PROVIDERS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Fallback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Readiness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fldChar w:fldCharType="begin"/>
              <w:fldPr>
                <w:ffData>
                  <w:ffName w:val="Alternative vendor"/>
                  <w:ffName w:val="insource"/>
                  <w:ffName w:val="manual workaround"/>
                </w:ffData>
              </w:fldPr>
              <w:instrText xml:space="preserve"> FORMDROPDOWN </w:instrText>
              <w:fldChar w:fldCharType="separate"/>
              <w:t>Alternative vendor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 xml:space="preserve">Contract in place / tested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 Date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Exit decision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Notice given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Migration complete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Data return complete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Contract termination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120"/>
        <w:ind w:left="360"/>
      </w:pPr>
      <w:r>
        <w:rPr>
          <w:b/>
          <w:i/>
        </w:rPr>
        <w:t>How to use this template: Prepare before contract signature for every</w:t>
      </w:r>
    </w:p>
    <w:p>
      <w:pPr>
        <w:spacing w:after="120"/>
        <w:ind w:left="360"/>
      </w:pPr>
      <w:r>
        <w:rPr>
          <w:b w:val="0"/>
          <w:i/>
        </w:rPr>
        <w:t>critical third party and keep it current (DORA Art. 29 register). Test</w:t>
      </w:r>
    </w:p>
    <w:p>
      <w:pPr>
        <w:spacing w:after="120"/>
        <w:ind w:left="360"/>
      </w:pPr>
      <w:r>
        <w:rPr>
          <w:b w:val="0"/>
          <w:i/>
        </w:rPr>
        <w:t>the exit plan periodically, coordinate with the BCP, and document the</w:t>
      </w:r>
    </w:p>
    <w:p>
      <w:pPr>
        <w:spacing w:after="120"/>
        <w:ind w:left="360"/>
      </w:pPr>
      <w:r>
        <w:rPr>
          <w:b w:val="0"/>
          <w:i/>
        </w:rPr>
        <w:t>residual risk if no viable fallback exists.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Third-Party Risk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Service Owner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CRO / 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