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ASSET INVENTORY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-AST-001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Asset Owner / ISMS Manager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CISO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Quarterly (or on significant change)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Related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Control A.5.9 (Inventory of information and other associated assets)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The complete inventory of information assets and their</w:t>
      </w:r>
    </w:p>
    <w:p>
      <w:pPr>
        <w:spacing w:after="120"/>
        <w:ind w:left="360"/>
      </w:pPr>
      <w:r>
        <w:rPr>
          <w:b w:val="0"/>
          <w:i/>
        </w:rPr>
        <w:t>owners. ISO 27001 Control A.5.9 requires identification and</w:t>
      </w:r>
    </w:p>
    <w:p>
      <w:pPr>
        <w:spacing w:after="120"/>
        <w:ind w:left="360"/>
      </w:pPr>
      <w:r>
        <w:rPr>
          <w:b w:val="0"/>
          <w:i/>
        </w:rPr>
        <w:t>documentation of assets, owners, and classification. This is the</w:t>
      </w:r>
    </w:p>
    <w:p>
      <w:pPr>
        <w:spacing w:after="120"/>
        <w:ind w:left="360"/>
      </w:pPr>
      <w:r>
        <w:rPr>
          <w:b w:val="0"/>
          <w:i/>
        </w:rPr>
        <w:t>foundation of the asset-based risk assessment — you cannot protect</w:t>
      </w:r>
    </w:p>
    <w:p>
      <w:pPr>
        <w:spacing w:after="120"/>
        <w:ind w:left="360"/>
      </w:pPr>
      <w:r>
        <w:rPr>
          <w:b w:val="0"/>
          <w:i/>
        </w:rPr>
        <w:t>what you cannot find.</w:t>
      </w:r>
    </w:p>
    <w:p>
      <w:pPr>
        <w:spacing w:after="120"/>
        <w:ind w:left="360"/>
      </w:pPr>
      <w:r>
        <w:rPr>
          <w:b/>
          <w:i/>
        </w:rPr>
        <w:t>How to use this template: one row per asset. Group by asset type</w:t>
      </w:r>
    </w:p>
    <w:p>
      <w:pPr>
        <w:spacing w:after="120"/>
        <w:ind w:left="360"/>
      </w:pPr>
      <w:r>
        <w:rPr>
          <w:b w:val="0"/>
          <w:i/>
        </w:rPr>
        <w:t>(information, software, physical, service, people). Assign every asset</w:t>
      </w:r>
    </w:p>
    <w:p>
      <w:pPr>
        <w:spacing w:after="120"/>
        <w:ind w:left="360"/>
      </w:pPr>
      <w:r>
        <w:rPr>
          <w:b w:val="0"/>
          <w:i/>
        </w:rPr>
        <w:t>an owner. Update on any material change; review the full inventory at</w:t>
      </w:r>
    </w:p>
    <w:p>
      <w:pPr>
        <w:spacing w:after="120"/>
        <w:ind w:left="360"/>
      </w:pPr>
      <w:r>
        <w:rPr>
          <w:b w:val="0"/>
          <w:i/>
        </w:rPr>
        <w:t>least quarterly.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ASSET INVENTORY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Asset ID</w:t>
            </w:r>
          </w:p>
        </w:tc>
        <w:tc>
          <w:tcPr>
            <w:tcW w:type="dxa" w:w="96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Asset Name</w:t>
            </w:r>
          </w:p>
        </w:tc>
        <w:tc>
          <w:tcPr>
            <w:tcW w:type="dxa" w:w="96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Asset Type</w:t>
            </w:r>
          </w:p>
        </w:tc>
        <w:tc>
          <w:tcPr>
            <w:tcW w:type="dxa" w:w="96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96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Location</w:t>
            </w:r>
          </w:p>
        </w:tc>
        <w:tc>
          <w:tcPr>
            <w:tcW w:type="dxa" w:w="96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96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Criticality (1-5)</w:t>
            </w:r>
          </w:p>
        </w:tc>
        <w:tc>
          <w:tcPr>
            <w:tcW w:type="dxa" w:w="96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Data Categories</w:t>
            </w:r>
          </w:p>
        </w:tc>
        <w:tc>
          <w:tcPr>
            <w:tcW w:type="dxa" w:w="96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Retention</w:t>
            </w:r>
          </w:p>
        </w:tc>
        <w:tc>
          <w:tcPr>
            <w:tcW w:type="dxa" w:w="96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i w:val="0"/>
              </w:rPr>
              <w:t>AST-001</w:t>
            </w:r>
          </w:p>
        </w:tc>
        <w:tc>
          <w:tcPr>
            <w:tcW w:type="dxa" w:w="96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</w:tcPr>
          <w:p>
            <w:r/>
            <w:r>
              <w:fldChar w:fldCharType="begin"/>
              <w:fldPr>
                <w:ffData>
                  <w:ffName w:val="Information"/>
                  <w:ffName w:val="Software"/>
                  <w:ffName w:val="Physical"/>
                  <w:ffName w:val="Service"/>
                </w:ffData>
              </w:fldPr>
              <w:instrText xml:space="preserve"> FORMDROPDOWN </w:instrText>
              <w:fldChar w:fldCharType="separate"/>
              <w:t>Information</w:t>
              <w:fldChar w:fldCharType="end"/>
            </w:r>
          </w:p>
        </w:tc>
        <w:tc>
          <w:tcPr>
            <w:tcW w:type="dxa" w:w="96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</w:tcPr>
          <w:p>
            <w:r/>
            <w:r>
              <w:fldChar w:fldCharType="begin"/>
              <w:fldPr>
                <w:ffData>
                  <w:ffName w:val="Public"/>
                  <w:ffName w:val="Internal"/>
                  <w:ffName w:val="Confidential"/>
                  <w:ffName w:val="Restricted"/>
                </w:ffData>
              </w:fldPr>
              <w:instrText xml:space="preserve"> FORMDROPDOWN </w:instrText>
              <w:fldChar w:fldCharType="separate"/>
              <w:t>Public</w:t>
              <w:fldChar w:fldCharType="end"/>
            </w:r>
          </w:p>
        </w:tc>
        <w:tc>
          <w:tcPr>
            <w:tcW w:type="dxa" w:w="96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960"/>
            <w:shd w:val="clear" w:color="auto" w:fill="EAF0F8"/>
          </w:tcPr>
          <w:p>
            <w:r/>
            <w:r>
              <w:rPr>
                <w:b w:val="0"/>
                <w:i w:val="0"/>
              </w:rPr>
              <w:t>AST-002</w:t>
            </w:r>
          </w:p>
        </w:tc>
        <w:tc>
          <w:tcPr>
            <w:tcW w:type="dxa" w:w="96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i w:val="0"/>
              </w:rPr>
              <w:t>AST-003</w:t>
            </w:r>
          </w:p>
        </w:tc>
        <w:tc>
          <w:tcPr>
            <w:tcW w:type="dxa" w:w="96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96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ASSET TYPES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Definition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Examples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Information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Data and knowledge assets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Databases, documents, source code, credentials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Software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Applications and systems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ERP, CRM, security tools, SaaS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Physical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Hardware and facilities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Servers, laptops, network equipment, data centers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Service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Externally provided capabilities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Cloud, ISP, managed services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People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Human assets and their skills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Staff, contractors, expertise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CLASSIFICATION SCHEME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Definition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Handling Requirements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Public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Freely disclosable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None beyond integrity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Internal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Internal use only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Access restricted to staff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Confidential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Sensitive business information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Need-to-know, encryption at rest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Restricted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Highest sensitivity (PII, secrets, IP)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Strong access control, audit logging, encryption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INVENTORY RULES</w:t>
      </w:r>
    </w:p>
    <w:p>
      <w:pPr>
        <w:spacing w:after="40"/>
        <w:ind w:left="432"/>
      </w:pPr>
      <w:r>
        <w:rPr>
          <w:b w:val="0"/>
          <w:i w:val="0"/>
        </w:rPr>
        <w:t>1. Every asset has exactly one owner (A.5.9).</w:t>
      </w:r>
    </w:p>
    <w:p>
      <w:pPr>
        <w:spacing w:after="40"/>
        <w:ind w:left="432"/>
      </w:pPr>
      <w:r>
        <w:rPr>
          <w:b w:val="0"/>
          <w:i w:val="0"/>
        </w:rPr>
        <w:t>2. Assets are discovered via: automated discovery tools, interviews with</w:t>
      </w:r>
    </w:p>
    <w:p>
      <w:pPr>
        <w:spacing w:after="80" w:before="0"/>
      </w:pPr>
      <w:r>
        <w:rPr>
          <w:b w:val="0"/>
          <w:i w:val="0"/>
          <w:sz w:val="21"/>
        </w:rPr>
        <w:t>process owners, review of network diagrams and system inventories.</w:t>
      </w:r>
    </w:p>
    <w:p>
      <w:pPr>
        <w:spacing w:after="40"/>
        <w:ind w:left="432"/>
      </w:pPr>
      <w:r>
        <w:rPr>
          <w:b w:val="0"/>
          <w:i w:val="0"/>
        </w:rPr>
        <w:t>3. Cloud assets are included (A.5.23) — shadow IT is a finding.</w:t>
      </w:r>
    </w:p>
    <w:p>
      <w:pPr>
        <w:spacing w:after="40"/>
        <w:ind w:left="432"/>
      </w:pPr>
      <w:r>
        <w:rPr>
          <w:b w:val="0"/>
          <w:i w:val="0"/>
        </w:rPr>
        <w:t>4. The inventory feeds the risk assessment (threat/vulnerability</w:t>
      </w:r>
    </w:p>
    <w:p>
      <w:pPr>
        <w:spacing w:after="80" w:before="0"/>
      </w:pPr>
      <w:r>
        <w:rPr>
          <w:b w:val="0"/>
          <w:i w:val="0"/>
          <w:sz w:val="21"/>
        </w:rPr>
        <w:t>identification per asset) and the ROPA for personal data.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ISMS Manager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CISO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