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Georgia" w:hAnsi="Georgia"/>
          <w:b/>
          <w:color w:val="1F3A5F"/>
          <w:sz w:val="40"/>
        </w:rPr>
        <w:t>EXECUTIVE RISK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244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912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Document ID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[ORG]</w:t>
            </w:r>
            <w:r>
              <w:rPr>
                <w:b w:val="0"/>
                <w:i w:val="0"/>
              </w:rPr>
              <w:t>-ERS-001</w:t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1.0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CISO / Risk Manager</w:t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Management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Reporting Period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 xml:space="preserve">Q1 2026 /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Audience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Board, Executive Leadership</w:t>
            </w:r>
          </w:p>
        </w:tc>
      </w:tr>
    </w:tbl>
    <w:p>
      <w:pPr>
        <w:spacing w:after="120"/>
        <w:ind w:left="360"/>
      </w:pPr>
      <w:r>
        <w:rPr>
          <w:b/>
          <w:i/>
        </w:rPr>
        <w:t>Purpose: The board-level view of the risk posture: what changed,</w:t>
      </w:r>
    </w:p>
    <w:p>
      <w:pPr>
        <w:spacing w:after="120"/>
        <w:ind w:left="360"/>
      </w:pPr>
      <w:r>
        <w:rPr>
          <w:b w:val="0"/>
          <w:i/>
        </w:rPr>
        <w:t>what is critical, what is being done, and what decisions are needed.</w:t>
      </w:r>
    </w:p>
    <w:p>
      <w:pPr>
        <w:spacing w:after="120"/>
        <w:ind w:left="360"/>
      </w:pPr>
      <w:r>
        <w:rPr>
          <w:b w:val="0"/>
          <w:i/>
        </w:rPr>
        <w:t>Executives do not read the risk register — they read this. Keep it to</w:t>
      </w:r>
    </w:p>
    <w:p>
      <w:pPr>
        <w:spacing w:after="120"/>
        <w:ind w:left="360"/>
      </w:pPr>
      <w:r>
        <w:rPr>
          <w:b w:val="0"/>
          <w:i/>
        </w:rPr>
        <w:t>one or two pages.</w:t>
      </w:r>
    </w:p>
    <w:p>
      <w:pPr>
        <w:spacing w:after="120"/>
        <w:ind w:left="360"/>
      </w:pPr>
      <w:r>
        <w:rPr>
          <w:b/>
          <w:i/>
        </w:rPr>
        <w:t>How to use this template: complete quarterly. The top risks table</w:t>
      </w:r>
    </w:p>
    <w:p>
      <w:pPr>
        <w:spacing w:after="120"/>
        <w:ind w:left="360"/>
      </w:pPr>
      <w:r>
        <w:rPr>
          <w:b w:val="0"/>
          <w:i/>
        </w:rPr>
        <w:t>shows the highest-scored risks with trend arrows. The decisions section</w:t>
      </w:r>
    </w:p>
    <w:p>
      <w:pPr>
        <w:spacing w:after="120"/>
        <w:ind w:left="360"/>
      </w:pPr>
      <w:r>
        <w:rPr>
          <w:b w:val="0"/>
          <w:i/>
        </w:rPr>
        <w:t>is where you ask the board for what you need.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1. EXECUTIVE SUMMARY</w:t>
      </w:r>
    </w:p>
    <w:p>
      <w:pPr>
        <w:spacing w:after="80" w:before="0"/>
      </w:pPr>
      <w:r>
        <w:rPr>
          <w:b w:val="0"/>
          <w:i w:val="0"/>
          <w:sz w:val="21"/>
        </w:rPr>
        <w:t>[Two to three sentences: overall risk posture, whether residual risk is</w:t>
      </w:r>
    </w:p>
    <w:p>
      <w:pPr>
        <w:spacing w:after="80" w:before="0"/>
      </w:pPr>
      <w:r>
        <w:rPr>
          <w:b w:val="0"/>
          <w:i w:val="0"/>
          <w:sz w:val="21"/>
        </w:rPr>
        <w:t>within appetite, and the headline change this quarter.]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2. RISK POSTURE AT A GLANCE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Metric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This Quarter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Last Quarter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Trend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Total risks (open)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fldChar w:fldCharType="begin"/>
              <w:fldPr>
                <w:ffData>
                  <w:ffName w:val="Up"/>
                  <w:ffName w:val="Down"/>
                  <w:ffName w:val="Stable"/>
                </w:ffData>
              </w:fldPr>
              <w:instrText xml:space="preserve"> FORMDROPDOWN </w:instrText>
              <w:fldChar w:fldCharType="separate"/>
              <w:t>Up</w:t>
              <w:fldChar w:fldCharType="end"/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Critical (16-25)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High (10-15)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Medium (5-9)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Low (1-4)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% within risk appetite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  <w:r>
              <w:rPr>
                <w:b w:val="0"/>
                <w:i w:val="0"/>
              </w:rPr>
              <w:t>%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  <w:r>
              <w:rPr>
                <w:b w:val="0"/>
                <w:i w:val="0"/>
              </w:rPr>
              <w:t>%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3. TOP RISKS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c>
          <w:tcPr>
            <w:tcW w:type="dxa" w:w="16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Rank</w:t>
            </w:r>
          </w:p>
        </w:tc>
        <w:tc>
          <w:tcPr>
            <w:tcW w:type="dxa" w:w="16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Risk</w:t>
            </w:r>
          </w:p>
        </w:tc>
        <w:tc>
          <w:tcPr>
            <w:tcW w:type="dxa" w:w="16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Score</w:t>
            </w:r>
          </w:p>
        </w:tc>
        <w:tc>
          <w:tcPr>
            <w:tcW w:type="dxa" w:w="16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Trend</w:t>
            </w:r>
          </w:p>
        </w:tc>
        <w:tc>
          <w:tcPr>
            <w:tcW w:type="dxa" w:w="16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Treatment Status</w:t>
            </w:r>
          </w:p>
        </w:tc>
        <w:tc>
          <w:tcPr>
            <w:tcW w:type="dxa" w:w="16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1601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6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6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601"/>
          </w:tcPr>
          <w:p>
            <w:r/>
            <w:r>
              <w:fldChar w:fldCharType="begin"/>
              <w:fldPr>
                <w:ffData>
                  <w:ffName w:val="Rising"/>
                  <w:ffName w:val="Stable"/>
                  <w:ffName w:val="Falling"/>
                </w:ffData>
              </w:fldPr>
              <w:instrText xml:space="preserve"> FORMDROPDOWN </w:instrText>
              <w:fldChar w:fldCharType="separate"/>
              <w:t>Rising</w:t>
              <w:fldChar w:fldCharType="end"/>
            </w:r>
          </w:p>
        </w:tc>
        <w:tc>
          <w:tcPr>
            <w:tcW w:type="dxa" w:w="1601"/>
          </w:tcPr>
          <w:p>
            <w:r/>
            <w:r>
              <w:fldChar w:fldCharType="begin"/>
              <w:fldPr>
                <w:ffData>
                  <w:ffName w:val="On track"/>
                  <w:ffName w:val="At risk"/>
                  <w:ffName w:val="Behind"/>
                </w:ffData>
              </w:fldPr>
              <w:instrText xml:space="preserve"> FORMDROPDOWN </w:instrText>
              <w:fldChar w:fldCharType="separate"/>
              <w:t>On track</w:t>
              <w:fldChar w:fldCharType="end"/>
            </w:r>
          </w:p>
        </w:tc>
        <w:tc>
          <w:tcPr>
            <w:tcW w:type="dxa" w:w="16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601"/>
            <w:shd w:val="clear" w:color="auto" w:fill="EAF0F8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6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6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6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6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6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601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6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6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6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6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6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601"/>
            <w:shd w:val="clear" w:color="auto" w:fill="EAF0F8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16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6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6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6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6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601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16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6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6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6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6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4. REGULATORY EXPOSURE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1921"/>
        <w:gridCol w:w="1921"/>
        <w:gridCol w:w="1921"/>
        <w:gridCol w:w="1921"/>
        <w:gridCol w:w="1921"/>
      </w:tblGrid>
      <w:tr>
        <w:tc>
          <w:tcPr>
            <w:tcW w:type="dxa" w:w="192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Regulation</w:t>
            </w:r>
          </w:p>
        </w:tc>
        <w:tc>
          <w:tcPr>
            <w:tcW w:type="dxa" w:w="192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Applicable?</w:t>
            </w:r>
          </w:p>
        </w:tc>
        <w:tc>
          <w:tcPr>
            <w:tcW w:type="dxa" w:w="192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Compliance Status</w:t>
            </w:r>
          </w:p>
        </w:tc>
        <w:tc>
          <w:tcPr>
            <w:tcW w:type="dxa" w:w="192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Key Deadline</w:t>
            </w:r>
          </w:p>
        </w:tc>
        <w:tc>
          <w:tcPr>
            <w:tcW w:type="dxa" w:w="192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Action Needed</w:t>
            </w:r>
          </w:p>
        </w:tc>
      </w:tr>
      <w:tr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GDPR</w:t>
            </w:r>
          </w:p>
        </w:tc>
        <w:tc>
          <w:tcPr>
            <w:tcW w:type="dxa" w:w="1921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[72h breach notification]</w:t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NIS2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[Transposed Oct 17, 2024]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DORA</w:t>
            </w:r>
          </w:p>
        </w:tc>
        <w:tc>
          <w:tcPr>
            <w:tcW w:type="dxa" w:w="1921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[Enforcement Jan 17, 2025]</w:t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EU AI Act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[High-risk Aug 2, 2026]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Cyber Resilience Act</w:t>
            </w:r>
          </w:p>
        </w:tc>
        <w:tc>
          <w:tcPr>
            <w:tcW w:type="dxa" w:w="1921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[Reporting Sep 11, 2026; full Dec 11, 2027]</w:t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5. INCIDENTS AND TRENDS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Period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Incidents (S1-S2)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Notable Events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Lessons</w:t>
            </w:r>
          </w:p>
        </w:tc>
      </w:tr>
      <w:tr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6. DECISIONS REQUESTED FROM MANAGEMENT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Decision Requested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Rationale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By When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:-</w:t>
            </w:r>
          </w:p>
        </w:tc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:-----------------</w:t>
            </w:r>
          </w:p>
        </w:tc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:--------</w:t>
            </w:r>
          </w:p>
        </w:tc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:------</w:t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 xml:space="preserve">Budget for control X: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 xml:space="preserve">Approve risk acceptance for: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APPROVAL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Signature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CISO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Management / Board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Change Description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0.1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Initial draft</w:t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1.0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Approved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 w:val="0"/>
          <w:sz w:val="21"/>
        </w:rPr>
        <w:t>*Template from "The Governance, Risk and Compliance Architect" (Hendriksen,</w:t>
      </w:r>
    </w:p>
    <w:p>
      <w:pPr>
        <w:spacing w:after="80" w:before="0"/>
      </w:pPr>
      <w:r>
        <w:rPr>
          <w:b w:val="0"/>
          <w:i w:val="0"/>
          <w:sz w:val="21"/>
        </w:rPr>
        <w:t>2026). Adapt to your organization's context before use.*</w:t>
      </w:r>
    </w:p>
    <w:sectPr w:rsidR="00FC693F" w:rsidRPr="0006063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cumentProtection w:edit="forms" w:enforcement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