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Georgia" w:hAnsi="Georgia"/>
          <w:b/>
          <w:color w:val="1F3A5F"/>
          <w:sz w:val="40"/>
        </w:rPr>
        <w:t>SUPPLIER SECURITY ASSESSMENT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244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912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[ORG]</w:t>
            </w:r>
            <w:r>
              <w:rPr>
                <w:b w:val="0"/>
                <w:i w:val="0"/>
              </w:rPr>
              <w:t>-SSA-001</w:t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1.0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Vendor Risk Manager / Procurement</w:t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CISO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6912"/>
          </w:tcPr>
          <w:p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Annual + on significant vendor change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Related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Controls A.5.19-A.5.23</w:t>
            </w:r>
          </w:p>
        </w:tc>
      </w:tr>
    </w:tbl>
    <w:p>
      <w:pPr>
        <w:spacing w:after="120"/>
        <w:ind w:left="360"/>
      </w:pPr>
      <w:r>
        <w:rPr>
          <w:b/>
          <w:i/>
        </w:rPr>
        <w:t>Purpose: Evaluates the security posture of suppliers before</w:t>
      </w:r>
    </w:p>
    <w:p>
      <w:pPr>
        <w:spacing w:after="120"/>
        <w:ind w:left="360"/>
      </w:pPr>
      <w:r>
        <w:rPr>
          <w:b w:val="0"/>
          <w:i/>
        </w:rPr>
        <w:t>contracting and periodically thereafter. Implements the supplier</w:t>
      </w:r>
    </w:p>
    <w:p>
      <w:pPr>
        <w:spacing w:after="120"/>
        <w:ind w:left="360"/>
      </w:pPr>
      <w:r>
        <w:rPr>
          <w:b w:val="0"/>
          <w:i/>
        </w:rPr>
        <w:t>security controls (A.5.19-A.5.23) and supports DORA third-party risk</w:t>
      </w:r>
    </w:p>
    <w:p>
      <w:pPr>
        <w:spacing w:after="120"/>
        <w:ind w:left="360"/>
      </w:pPr>
      <w:r>
        <w:rPr>
          <w:b w:val="0"/>
          <w:i/>
        </w:rPr>
        <w:t>management where applicable.</w:t>
      </w:r>
    </w:p>
    <w:p>
      <w:pPr>
        <w:spacing w:after="120"/>
        <w:ind w:left="360"/>
      </w:pPr>
      <w:r>
        <w:rPr>
          <w:b/>
          <w:i/>
        </w:rPr>
        <w:t>How to use this template: complete ONE assessment per supplier.</w:t>
      </w:r>
    </w:p>
    <w:p>
      <w:pPr>
        <w:spacing w:after="120"/>
        <w:ind w:left="360"/>
      </w:pPr>
      <w:r>
        <w:rPr>
          <w:b w:val="0"/>
          <w:i/>
        </w:rPr>
        <w:t>Score each domain 1-5 (1 = no controls, 5 = verified strong). Total</w:t>
      </w:r>
    </w:p>
    <w:p>
      <w:pPr>
        <w:spacing w:after="120"/>
        <w:ind w:left="360"/>
      </w:pPr>
      <w:r>
        <w:rPr>
          <w:b w:val="0"/>
          <w:i/>
        </w:rPr>
        <w:t>score feeds the vendor risk tier and the contract terms.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1. SUPPLIER IDENTIFICATION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Supplier Name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Service Provided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Data / Systems Accessed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Criticality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fldChar w:fldCharType="begin"/>
              <w:fldPr>
                <w:ffData>
                  <w:ffName w:val="Critical"/>
                  <w:ffName w:val="High"/>
                  <w:ffName w:val="Medium"/>
                  <w:ffName w:val="Low"/>
                </w:ffData>
              </w:fldPr>
              <w:instrText xml:space="preserve"> FORMDROPDOWN </w:instrText>
              <w:fldChar w:fldCharType="separate"/>
              <w:t>Critical</w:t>
              <w:fldChar w:fldCharType="end"/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Contract Reference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Data Processing Agreement?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2. SECURITY ASSESSMENT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3202"/>
        <w:gridCol w:w="3202"/>
        <w:gridCol w:w="3202"/>
      </w:tblGrid>
      <w:tr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Domain</w:t>
            </w:r>
          </w:p>
        </w:tc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Score (1-5)</w:t>
            </w:r>
          </w:p>
        </w:tc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Evidence / Notes</w:t>
            </w:r>
          </w:p>
        </w:tc>
      </w:tr>
      <w:tr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Governance &amp; certification (ISO 27001, SOC 2)</w:t>
            </w:r>
          </w:p>
        </w:tc>
        <w:tc>
          <w:tcPr>
            <w:tcW w:type="dxa" w:w="32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[Certificates, reports]</w:t>
            </w:r>
          </w:p>
        </w:tc>
      </w:tr>
      <w:tr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Access control (MFA, least privilege)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Data protection &amp; privacy (GDPR compliance)</w:t>
            </w:r>
          </w:p>
        </w:tc>
        <w:tc>
          <w:tcPr>
            <w:tcW w:type="dxa" w:w="32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32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Incident response &amp; breach notification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Secure development (if software supplier)</w:t>
            </w:r>
          </w:p>
        </w:tc>
        <w:tc>
          <w:tcPr>
            <w:tcW w:type="dxa" w:w="32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32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Business continuity &amp; redundancy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Sub-processors &amp; supply chain</w:t>
            </w:r>
          </w:p>
        </w:tc>
        <w:tc>
          <w:tcPr>
            <w:tcW w:type="dxa" w:w="32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32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Compliance (relevant regs: GDPR, NIS2, DORA, AI Act, CRA)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Total Score (max 40)</w:t>
            </w:r>
          </w:p>
        </w:tc>
        <w:tc>
          <w:tcPr>
            <w:tcW w:type="dxa" w:w="32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3202"/>
          </w:tcPr>
          <w:p>
            <w:r/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3. VENDOR RISK TIER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3202"/>
        <w:gridCol w:w="3202"/>
        <w:gridCol w:w="3202"/>
      </w:tblGrid>
      <w:tr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Total Score</w:t>
            </w:r>
          </w:p>
        </w:tc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Tier</w:t>
            </w:r>
          </w:p>
        </w:tc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Contract Requirements</w:t>
            </w:r>
          </w:p>
        </w:tc>
      </w:tr>
      <w:tr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32-40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Low Risk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Standard terms, annual review</w:t>
            </w:r>
          </w:p>
        </w:tc>
      </w:tr>
      <w:tr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24-31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Medium Risk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Enhanced terms, quarterly review, security addendum</w:t>
            </w:r>
          </w:p>
        </w:tc>
      </w:tr>
      <w:tr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16-23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High Risk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Mandatory remediation plan, right-to-audit, exit plan</w:t>
            </w:r>
          </w:p>
        </w:tc>
      </w:tr>
      <w:tr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&lt; 16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Critical Risk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Do not contract without CISO approval + compensating controls</w:t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4. CONTRACTUAL REQUIREMENTS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Data Processing Agreement in place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Breach notification clause (authority notification within </w:t>
      </w:r>
      <w:r>
        <w:fldChar w:fldCharType="begin"/>
        <w:fldPr>
          <w:ffData>
            <w:ffName w:val="24"/>
            <w:ffName w:val="72"/>
          </w:ffData>
        </w:fldPr>
        <w:instrText xml:space="preserve"> FORMDROPDOWN </w:instrText>
        <w:fldChar w:fldCharType="separate"/>
        <w:t>24</w:t>
        <w:fldChar w:fldCharType="end"/>
      </w:r>
      <w:r>
        <w:rPr>
          <w:b w:val="0"/>
          <w:i w:val="0"/>
        </w:rPr>
        <w:t xml:space="preserve"> hours per applicable law; customer notification per contract — GDPR Art. 34: without undue delay where high risk is likely)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Right to audit clause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Sub-processor notification/approval clause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Exit and data-return clause (see Third-Party Exit Strategy)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Insurance requirements (cyber liability: $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  <w:r>
        <w:rPr>
          <w:b w:val="0"/>
          <w:i w:val="0"/>
        </w:rPr>
        <w:t>)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Compliance with </w:t>
      </w:r>
      <w:r>
        <w:rPr>
          <w:b w:val="0"/>
          <w:i w:val="0"/>
        </w:rPr>
        <w:t>[applicable regulations]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5. ASSESSMENT DECISION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Decision</w:t>
            </w:r>
          </w:p>
        </w:tc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Approved / Conditional / Rejected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Conditions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Next Review Date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CISO Approval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 xml:space="preserve">Signature: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APPROVAL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Signature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Vendor Risk Manager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CISO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Change Description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0.1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Initial draft</w:t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1.0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Approved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 w:val="0"/>
          <w:sz w:val="21"/>
        </w:rPr>
        <w:t>*Template from "The Governance, Risk and Compliance Architect" (Hendriksen,</w:t>
      </w:r>
    </w:p>
    <w:p>
      <w:pPr>
        <w:spacing w:after="80" w:before="0"/>
      </w:pPr>
      <w:r>
        <w:rPr>
          <w:b w:val="0"/>
          <w:i w:val="0"/>
          <w:sz w:val="21"/>
        </w:rPr>
        <w:t>2026). Adapt to your organization's context before use.*</w:t>
      </w:r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cumentProtection w:edit="forms" w:enforcement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