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jc w:val="center"/>
      </w:pPr>
      <w:r>
        <w:rPr>
          <w:rFonts w:ascii="Arial" w:hAnsi="Arial" w:cs="Arial" w:eastAsia="Arial"/>
          <w:b/>
          <w:i w:val="0"/>
          <w:color w:val="1F4E79"/>
          <w:sz w:val="48"/>
        </w:rPr>
        <w:t>Manual de Despliegue</w:t>
      </w:r>
    </w:p>
    <w:p>
      <w:pPr>
        <w:spacing w:before="0" w:after="120"/>
        <w:jc w:val="center"/>
      </w:pPr>
      <w:r>
        <w:rPr>
          <w:rFonts w:ascii="Arial" w:hAnsi="Arial" w:cs="Arial" w:eastAsia="Arial"/>
          <w:b/>
          <w:i w:val="0"/>
          <w:color w:val="2E6DB4"/>
          <w:sz w:val="32"/>
        </w:rPr>
        <w:t>Sistema de Información MultiParking</w:t>
      </w:r>
    </w:p>
    <w:p>
      <w:pPr>
        <w:spacing w:before="0" w:after="80"/>
        <w:jc w:val="center"/>
      </w:pPr>
      <w:r>
        <w:rPr>
          <w:rFonts w:ascii="Arial" w:hAnsi="Arial" w:cs="Arial" w:eastAsia="Arial"/>
          <w:b w:val="0"/>
          <w:i w:val="0"/>
          <w:color w:val="000000"/>
          <w:sz w:val="22"/>
        </w:rPr>
        <w:t>Gestión Integral de Parqueaderos Privados</w:t>
      </w:r>
    </w:p>
    <w:p>
      <w:pPr>
        <w:spacing w:before="0" w:after="60"/>
      </w:pPr>
    </w:p>
    <w:p>
      <w:pPr>
        <w:spacing w:before="0" w:after="80"/>
        <w:jc w:val="center"/>
      </w:pPr>
      <w:r>
        <w:rPr>
          <w:rFonts w:ascii="Arial" w:hAnsi="Arial" w:cs="Arial" w:eastAsia="Arial"/>
          <w:b/>
          <w:i w:val="0"/>
          <w:color w:val="000000"/>
          <w:sz w:val="22"/>
        </w:rPr>
        <w:t>Integrantes:</w:t>
      </w:r>
    </w:p>
    <w:p>
      <w:pPr>
        <w:spacing w:before="0" w:after="0"/>
        <w:jc w:val="center"/>
      </w:pPr>
      <w:r>
        <w:rPr>
          <w:rFonts w:ascii="Arial" w:hAnsi="Arial" w:cs="Arial" w:eastAsia="Arial"/>
          <w:b w:val="0"/>
          <w:i w:val="0"/>
          <w:color w:val="000000"/>
          <w:sz w:val="22"/>
        </w:rPr>
        <w:t>Kevin Arley Grisales Ovalle</w:t>
      </w:r>
    </w:p>
    <w:p>
      <w:pPr>
        <w:spacing w:before="0" w:after="0"/>
        <w:jc w:val="center"/>
      </w:pPr>
      <w:r>
        <w:rPr>
          <w:rFonts w:ascii="Arial" w:hAnsi="Arial" w:cs="Arial" w:eastAsia="Arial"/>
          <w:b w:val="0"/>
          <w:i w:val="0"/>
          <w:color w:val="000000"/>
          <w:sz w:val="22"/>
        </w:rPr>
        <w:t>Kevin Santiago Pinto López</w:t>
      </w:r>
    </w:p>
    <w:p>
      <w:pPr>
        <w:spacing w:before="0" w:after="60"/>
      </w:pPr>
    </w:p>
    <w:p>
      <w:pPr>
        <w:spacing w:before="0" w:after="0"/>
        <w:jc w:val="center"/>
      </w:pPr>
      <w:r>
        <w:rPr>
          <w:rFonts w:ascii="Arial" w:hAnsi="Arial" w:cs="Arial" w:eastAsia="Arial"/>
          <w:b w:val="0"/>
          <w:i w:val="0"/>
          <w:color w:val="000000"/>
          <w:sz w:val="22"/>
        </w:rPr>
        <w:t>Análisis y Desarrollo de Software – Ficha 3119175</w:t>
      </w:r>
    </w:p>
    <w:p>
      <w:pPr>
        <w:spacing w:before="0" w:after="0"/>
        <w:jc w:val="center"/>
      </w:pPr>
      <w:r>
        <w:rPr>
          <w:rFonts w:ascii="Arial" w:hAnsi="Arial" w:cs="Arial" w:eastAsia="Arial"/>
          <w:b w:val="0"/>
          <w:i w:val="0"/>
          <w:color w:val="000000"/>
          <w:sz w:val="22"/>
        </w:rPr>
        <w:t>Centro de Diseño y Metrología – SENA</w:t>
      </w:r>
    </w:p>
    <w:p>
      <w:pPr>
        <w:spacing w:before="0" w:after="0"/>
        <w:jc w:val="center"/>
      </w:pPr>
      <w:r>
        <w:rPr>
          <w:rFonts w:ascii="Arial" w:hAnsi="Arial" w:cs="Arial" w:eastAsia="Arial"/>
          <w:b w:val="0"/>
          <w:i w:val="0"/>
          <w:color w:val="000000"/>
          <w:sz w:val="22"/>
        </w:rPr>
        <w:t>Bogotá D.C. – 2026</w:t>
      </w:r>
    </w:p>
    <w:p>
      <w:r>
        <w:br w:type="page"/>
      </w:r>
    </w:p>
    <w:p>
      <w:pPr>
        <w:spacing w:before="400" w:after="160"/>
      </w:pPr>
      <w:r>
        <w:rPr>
          <w:rFonts w:ascii="Arial" w:hAnsi="Arial" w:cs="Arial" w:eastAsia="Arial"/>
          <w:b/>
          <w:i w:val="0"/>
          <w:color w:val="1F4E79"/>
          <w:sz w:val="28"/>
        </w:rPr>
        <w:t>1. Definición del entorno técnico</w:t>
      </w:r>
    </w:p>
    <w:p>
      <w:pPr>
        <w:spacing w:before="0" w:after="140"/>
      </w:pPr>
      <w:r>
        <w:rPr>
          <w:rFonts w:ascii="Arial" w:hAnsi="Arial" w:cs="Arial" w:eastAsia="Arial"/>
          <w:b w:val="0"/>
          <w:i w:val="0"/>
          <w:color w:val="000000"/>
          <w:sz w:val="20"/>
        </w:rPr>
        <w:t>Esta sección describe los componentes tecnológicos que conforman el sistema MultiParking desplegado en Render.com, y su equivalencia con el entorno de desarrollo local. A diferencia de proyectos que migran a un VPS propio, MultiParking opera de forma permanente sobre la infraestructura administrada de Render, por lo que este manual no contempla un entorno de servidor autogestionado.</w:t>
      </w:r>
    </w:p>
    <w:p>
      <w:pPr>
        <w:spacing w:before="280" w:after="120"/>
      </w:pPr>
      <w:r>
        <w:rPr>
          <w:rFonts w:ascii="Arial" w:hAnsi="Arial" w:cs="Arial" w:eastAsia="Arial"/>
          <w:b/>
          <w:i w:val="0"/>
          <w:color w:val="2E6DB4"/>
          <w:sz w:val="24"/>
        </w:rPr>
        <w:t>1.1 Componentes del entorno de producción (Render.com)</w:t>
      </w:r>
    </w:p>
    <w:tbl>
      <w:tblPr>
        <w:tblW w:type="auto" w:w="0"/>
        <w:tblLayout w:type="fixed"/>
        <w:tblLook w:firstColumn="1" w:firstRow="1" w:lastColumn="0" w:lastRow="0" w:noHBand="0" w:noVBand="1" w:val="04A0"/>
        <w:tblW w:type="dxa" w:w="12240"/>
        <w:tblBorders>
          <w:top w:val="single" w:sz="4" w:color="auto"/>
          <w:left w:val="single" w:sz="4" w:color="auto"/>
          <w:bottom w:val="single" w:sz="4" w:color="auto"/>
          <w:right w:val="single" w:sz="4" w:color="auto"/>
          <w:insideH w:val="single" w:sz="4" w:color="auto"/>
          <w:insideV w:val="single" w:sz="4" w:color="auto"/>
        </w:tblBorders>
      </w:tblPr>
      <w:tblGrid>
        <w:gridCol w:w="3060"/>
        <w:gridCol w:w="9180"/>
      </w:tblGrid>
      <w:tr>
        <w:trPr>
          <w:tblHeader/>
        </w:trPr>
        <w:tc>
          <w:tcPr>
            <w:tcW w:type="dxa" w:w="306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Componente</w:t>
            </w:r>
          </w:p>
        </w:tc>
        <w:tc>
          <w:tcPr>
            <w:tcW w:type="dxa" w:w="918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Descripción</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Sistema Operativo</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Gestionado por Render (contenedor Linux interno, no configurable directamente)</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Runtime</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Python 3.12+ / Django 6.0</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Servidor de aplicación (WSGI)</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Gunicorn (gunicorn multiparking.wsgi:application)</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Servidor web / proxy</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Interno de Render (TLS terminado por Render, sin Nginx configurable por el equipo)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Base de datos</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PostgreSQL 16 (Render Managed Database), conexión vía DATABASE_URL (dj-database-url)</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Archivos estáticos</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Whitenoise (CompressedManifestStaticFilesStorage), servidos por el propio proceso Django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Frontend</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Django Templates + Tailwind CSS (CDN), renderizado del lado del servidor</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Gestor de despliegue</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Render (CI/CD automático desde GitHub, sin configuración de servidor)</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Repositorio</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github.com/xeodeo/Multiparking-Django</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Dominio</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multiparking-django.onrender.com (dominio gratuito de Render)</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SSL/HTTPS</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Automático, gestionado por Render</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Correo transaccional</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Resend (prioritario) o SendGrid HTTP API (fallback) — evita bloqueo de puertos SMTP salientes</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Costo mensual</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Plan Free: $0 USD, con suspensión por inactividad; Plan Starter: desde ~$7 USD/mes para disponibilidad continua</w:t>
            </w:r>
          </w:p>
        </w:tc>
      </w:tr>
    </w:tbl>
    <w:p>
      <w:pPr>
        <w:spacing w:before="0" w:after="140"/>
      </w:pPr>
      <w:r>
        <w:rPr>
          <w:rFonts w:ascii="Arial" w:hAnsi="Arial" w:cs="Arial" w:eastAsia="Arial"/>
          <w:b w:val="0"/>
          <w:i w:val="0"/>
          <w:color w:val="000000"/>
          <w:sz w:val="20"/>
        </w:rPr>
        <w:t>Nota. Elaboración propia (2026), a partir de la configuración vigente en multiparking/settings.py y build.sh.</w:t>
      </w:r>
    </w:p>
    <w:p>
      <w:pPr>
        <w:spacing w:before="280" w:after="120"/>
      </w:pPr>
      <w:r>
        <w:rPr>
          <w:rFonts w:ascii="Arial" w:hAnsi="Arial" w:cs="Arial" w:eastAsia="Arial"/>
          <w:b/>
          <w:i w:val="0"/>
          <w:color w:val="2E6DB4"/>
          <w:sz w:val="24"/>
        </w:rPr>
        <w:t>1.2 Entorno local (desarrollo) vs. producción (Render)</w:t>
      </w:r>
    </w:p>
    <w:tbl>
      <w:tblPr>
        <w:tblW w:type="auto" w:w="0"/>
        <w:tblLayout w:type="fixed"/>
        <w:tblLook w:firstColumn="1" w:firstRow="1" w:lastColumn="0" w:lastRow="0" w:noHBand="0" w:noVBand="1" w:val="04A0"/>
        <w:tblW w:type="dxa" w:w="12240"/>
        <w:tblBorders>
          <w:top w:val="single" w:sz="4" w:color="auto"/>
          <w:left w:val="single" w:sz="4" w:color="auto"/>
          <w:bottom w:val="single" w:sz="4" w:color="auto"/>
          <w:right w:val="single" w:sz="4" w:color="auto"/>
          <w:insideH w:val="single" w:sz="4" w:color="auto"/>
          <w:insideV w:val="single" w:sz="4" w:color="auto"/>
        </w:tblBorders>
      </w:tblPr>
      <w:tblGrid>
        <w:gridCol w:w="2040"/>
        <w:gridCol w:w="5100"/>
        <w:gridCol w:w="5100"/>
      </w:tblGrid>
      <w:tr>
        <w:trPr>
          <w:tblHeader/>
        </w:trPr>
        <w:tc>
          <w:tcPr>
            <w:tcW w:type="dxa" w:w="204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Componente</w:t>
            </w:r>
          </w:p>
        </w:tc>
        <w:tc>
          <w:tcPr>
            <w:tcW w:type="dxa" w:w="510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Entorno local (desarrollo)</w:t>
            </w:r>
          </w:p>
        </w:tc>
        <w:tc>
          <w:tcPr>
            <w:tcW w:type="dxa" w:w="510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Producción (Render)</w:t>
            </w:r>
          </w:p>
        </w:tc>
      </w:tr>
      <w:tr>
        <w:tc>
          <w:tcPr>
            <w:tcW w:type="dxa" w:w="204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Base de datos</w:t>
            </w:r>
          </w:p>
        </w:tc>
        <w:tc>
          <w:tcPr>
            <w:tcW w:type="dxa" w:w="510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MySQL 8.0 (utf8mb4), vía DB_NAME/DB_USER/DB_PASSWORD/DB_HOST/DB_PORT en .env</w:t>
            </w:r>
          </w:p>
        </w:tc>
        <w:tc>
          <w:tcPr>
            <w:tcW w:type="dxa" w:w="510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PostgreSQL 16, vía DATABASE_URL inyectada por Render</w:t>
            </w:r>
          </w:p>
        </w:tc>
      </w:tr>
      <w:tr>
        <w:tc>
          <w:tcPr>
            <w:tcW w:type="dxa" w:w="204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Servidor</w:t>
            </w:r>
          </w:p>
        </w:tc>
        <w:tc>
          <w:tcPr>
            <w:tcW w:type="dxa" w:w="510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python manage.py runserver</w:t>
            </w:r>
          </w:p>
        </w:tc>
        <w:tc>
          <w:tcPr>
            <w:tcW w:type="dxa" w:w="510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gunicorn multiparking.wsgi:application</w:t>
            </w:r>
          </w:p>
        </w:tc>
      </w:tr>
      <w:tr>
        <w:tc>
          <w:tcPr>
            <w:tcW w:type="dxa" w:w="204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DEBUG</w:t>
            </w:r>
          </w:p>
        </w:tc>
        <w:tc>
          <w:tcPr>
            <w:tcW w:type="dxa" w:w="510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True (por defecto)</w:t>
            </w:r>
          </w:p>
        </w:tc>
        <w:tc>
          <w:tcPr>
            <w:tcW w:type="dxa" w:w="510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False — se desactiva automáticamente si existe la variable RENDER</w:t>
            </w:r>
          </w:p>
        </w:tc>
      </w:tr>
      <w:tr>
        <w:tc>
          <w:tcPr>
            <w:tcW w:type="dxa" w:w="204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Archivos estáticos</w:t>
            </w:r>
          </w:p>
        </w:tc>
        <w:tc>
          <w:tcPr>
            <w:tcW w:type="dxa" w:w="510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Servidor de desarrollo de Django</w:t>
            </w:r>
          </w:p>
        </w:tc>
        <w:tc>
          <w:tcPr>
            <w:tcW w:type="dxa" w:w="510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Whitenoise con compresión y versionado de archivos</w:t>
            </w:r>
          </w:p>
        </w:tc>
      </w:tr>
      <w:tr>
        <w:tc>
          <w:tcPr>
            <w:tcW w:type="dxa" w:w="204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Dominio</w:t>
            </w:r>
          </w:p>
        </w:tc>
        <w:tc>
          <w:tcPr>
            <w:tcW w:type="dxa" w:w="510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http://localhost:8000</w:t>
            </w:r>
          </w:p>
        </w:tc>
        <w:tc>
          <w:tcPr>
            <w:tcW w:type="dxa" w:w="510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https://multiparking-django.onrender.com</w:t>
            </w:r>
          </w:p>
        </w:tc>
      </w:tr>
      <w:tr>
        <w:tc>
          <w:tcPr>
            <w:tcW w:type="dxa" w:w="204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Variables de entorno</w:t>
            </w:r>
          </w:p>
        </w:tc>
        <w:tc>
          <w:tcPr>
            <w:tcW w:type="dxa" w:w="510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Archivo .env (python-dotenv)</w:t>
            </w:r>
          </w:p>
        </w:tc>
        <w:tc>
          <w:tcPr>
            <w:tcW w:type="dxa" w:w="510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Panel de Render → pestaña Environment</w:t>
            </w:r>
          </w:p>
        </w:tc>
      </w:tr>
      <w:tr>
        <w:tc>
          <w:tcPr>
            <w:tcW w:type="dxa" w:w="204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Datos de prueba</w:t>
            </w:r>
          </w:p>
        </w:tc>
        <w:tc>
          <w:tcPr>
            <w:tcW w:type="dxa" w:w="510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scripts/reiniciar_base_datos.py (datos demo completos)</w:t>
            </w:r>
          </w:p>
        </w:tc>
        <w:tc>
          <w:tcPr>
            <w:tcW w:type="dxa" w:w="510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scripts/render_datos_prueba.py (compatible con PostgreSQL)</w:t>
            </w:r>
          </w:p>
        </w:tc>
      </w:tr>
    </w:tbl>
    <w:p>
      <w:pPr>
        <w:spacing w:before="400" w:after="160"/>
      </w:pPr>
      <w:r>
        <w:rPr>
          <w:rFonts w:ascii="Arial" w:hAnsi="Arial" w:cs="Arial" w:eastAsia="Arial"/>
          <w:b/>
          <w:i w:val="0"/>
          <w:color w:val="1F4E79"/>
          <w:sz w:val="28"/>
        </w:rPr>
        <w:t>2. Protocolo de acceso y despliegue</w:t>
      </w:r>
    </w:p>
    <w:p>
      <w:pPr>
        <w:spacing w:before="0" w:after="140"/>
      </w:pPr>
      <w:r>
        <w:rPr>
          <w:rFonts w:ascii="Arial" w:hAnsi="Arial" w:cs="Arial" w:eastAsia="Arial"/>
          <w:b w:val="0"/>
          <w:i w:val="0"/>
          <w:color w:val="000000"/>
          <w:sz w:val="20"/>
        </w:rPr>
        <w:t>El despliegue de MultiParking en Render se realiza de forma automática al conectar el repositorio de GitHub con la plataforma. No se requiere acceso SSH, configuración de servidor ni gestión manual de contenedores.</w:t>
      </w:r>
    </w:p>
    <w:p>
      <w:pPr>
        <w:spacing w:before="280" w:after="120"/>
      </w:pPr>
      <w:r>
        <w:rPr>
          <w:rFonts w:ascii="Arial" w:hAnsi="Arial" w:cs="Arial" w:eastAsia="Arial"/>
          <w:b/>
          <w:i w:val="0"/>
          <w:color w:val="2E6DB4"/>
          <w:sz w:val="24"/>
        </w:rPr>
        <w:t>2.1 Despliegue automático en Render</w:t>
      </w:r>
    </w:p>
    <w:tbl>
      <w:tblPr>
        <w:tblW w:type="auto" w:w="0"/>
        <w:tblLayout w:type="fixed"/>
        <w:tblLook w:firstColumn="1" w:firstRow="1" w:lastColumn="0" w:lastRow="0" w:noHBand="0" w:noVBand="1" w:val="04A0"/>
        <w:tblW w:type="dxa" w:w="12240"/>
        <w:tblBorders>
          <w:top w:val="single" w:sz="4" w:color="auto"/>
          <w:left w:val="single" w:sz="4" w:color="auto"/>
          <w:bottom w:val="single" w:sz="4" w:color="auto"/>
          <w:right w:val="single" w:sz="4" w:color="auto"/>
          <w:insideH w:val="single" w:sz="4" w:color="auto"/>
          <w:insideV w:val="single" w:sz="4" w:color="auto"/>
        </w:tblBorders>
      </w:tblPr>
      <w:tblGrid>
        <w:gridCol w:w="3060"/>
        <w:gridCol w:w="9180"/>
      </w:tblGrid>
      <w:tr>
        <w:trPr>
          <w:tblHeader/>
        </w:trPr>
        <w:tc>
          <w:tcPr>
            <w:tcW w:type="dxa" w:w="306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Paso</w:t>
            </w:r>
          </w:p>
        </w:tc>
        <w:tc>
          <w:tcPr>
            <w:tcW w:type="dxa" w:w="918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Descripción</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1</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Ingresar al dashboard de Render (render.com) con la cuenta del proyecto.</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2</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Verificar que el Web Service esté conectado al repositorio github.com/xeodeo/Multiparking-Django.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3</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Confirmar que el Build Command sea bash build.sh y el Start Command sea gunicorn multiparking.wsgi:application.</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4</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Realizar git push origin main con los cambios ya probados localmente.</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5</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Render detecta el push y ejecuta build.sh: instala dependencias, corre collectstatic, aplica migraciones y carga datos iniciales si aplica.</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6</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Verificar en el dashboard de Render (pestañas Events y Logs) que el despliegue finalizó como "Live" sin errores.</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7</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Acceder a https://multiparking-django.onrender.com y validar login, dashboard y flujo de entrada/salida de vehículos.</w:t>
            </w:r>
          </w:p>
        </w:tc>
      </w:tr>
    </w:tbl>
    <w:p>
      <w:pPr>
        <w:spacing w:before="280" w:after="120"/>
      </w:pPr>
      <w:r>
        <w:rPr>
          <w:rFonts w:ascii="Arial" w:hAnsi="Arial" w:cs="Arial" w:eastAsia="Arial"/>
          <w:b/>
          <w:i w:val="0"/>
          <w:color w:val="2E6DB4"/>
          <w:sz w:val="24"/>
        </w:rPr>
        <w:t>2.2 Script de construcción (build.sh)</w:t>
      </w:r>
    </w:p>
    <w:p>
      <w:pPr>
        <w:spacing w:before="0" w:after="140"/>
      </w:pPr>
      <w:r>
        <w:rPr>
          <w:rFonts w:ascii="Arial" w:hAnsi="Arial" w:cs="Arial" w:eastAsia="Arial"/>
          <w:b w:val="0"/>
          <w:i w:val="0"/>
          <w:color w:val="000000"/>
          <w:sz w:val="20"/>
        </w:rPr>
        <w:t>Render ejecuta el siguiente script en cada despliegue:</w:t>
      </w:r>
    </w:p>
    <w:p>
      <w:pPr>
        <w:spacing w:before="0" w:after="140"/>
      </w:pPr>
      <w:r>
        <w:rPr>
          <w:rFonts w:ascii="Arial" w:hAnsi="Arial" w:cs="Arial" w:eastAsia="Arial"/>
          <w:b w:val="0"/>
          <w:i w:val="0"/>
          <w:color w:val="000000"/>
          <w:sz w:val="20"/>
        </w:rPr>
        <w:t>pip install -r requirements.txt</w:t>
      </w:r>
    </w:p>
    <w:p>
      <w:pPr>
        <w:spacing w:before="0" w:after="140"/>
      </w:pPr>
      <w:r>
        <w:rPr>
          <w:rFonts w:ascii="Arial" w:hAnsi="Arial" w:cs="Arial" w:eastAsia="Arial"/>
          <w:b w:val="0"/>
          <w:i w:val="0"/>
          <w:color w:val="000000"/>
          <w:sz w:val="20"/>
        </w:rPr>
        <w:t>python manage.py collectstatic --no-input</w:t>
      </w:r>
    </w:p>
    <w:p>
      <w:pPr>
        <w:spacing w:before="0" w:after="140"/>
      </w:pPr>
      <w:r>
        <w:rPr>
          <w:rFonts w:ascii="Arial" w:hAnsi="Arial" w:cs="Arial" w:eastAsia="Arial"/>
          <w:b w:val="0"/>
          <w:i w:val="0"/>
          <w:color w:val="000000"/>
          <w:sz w:val="20"/>
        </w:rPr>
        <w:t>python manage.py migrate</w:t>
      </w:r>
    </w:p>
    <w:p>
      <w:pPr>
        <w:spacing w:before="0" w:after="140"/>
      </w:pPr>
      <w:r>
        <w:rPr>
          <w:rFonts w:ascii="Arial" w:hAnsi="Arial" w:cs="Arial" w:eastAsia="Arial"/>
          <w:b w:val="0"/>
          <w:i w:val="0"/>
          <w:color w:val="000000"/>
          <w:sz w:val="20"/>
        </w:rPr>
        <w:t>python scripts/cargar_datos_iniciales.py</w:t>
      </w:r>
    </w:p>
    <w:p>
      <w:pPr>
        <w:spacing w:before="280" w:after="120"/>
      </w:pPr>
      <w:r>
        <w:rPr>
          <w:rFonts w:ascii="Arial" w:hAnsi="Arial" w:cs="Arial" w:eastAsia="Arial"/>
          <w:b/>
          <w:i w:val="0"/>
          <w:color w:val="2E6DB4"/>
          <w:sz w:val="24"/>
        </w:rPr>
        <w:t>2.3 Variables de entorno en Render</w:t>
      </w:r>
    </w:p>
    <w:tbl>
      <w:tblPr>
        <w:tblW w:type="auto" w:w="0"/>
        <w:tblLayout w:type="fixed"/>
        <w:tblLook w:firstColumn="1" w:firstRow="1" w:lastColumn="0" w:lastRow="0" w:noHBand="0" w:noVBand="1" w:val="04A0"/>
        <w:tblW w:type="dxa" w:w="12240"/>
        <w:tblBorders>
          <w:top w:val="single" w:sz="4" w:color="auto"/>
          <w:left w:val="single" w:sz="4" w:color="auto"/>
          <w:bottom w:val="single" w:sz="4" w:color="auto"/>
          <w:right w:val="single" w:sz="4" w:color="auto"/>
          <w:insideH w:val="single" w:sz="4" w:color="auto"/>
          <w:insideV w:val="single" w:sz="4" w:color="auto"/>
        </w:tblBorders>
      </w:tblPr>
      <w:tblGrid>
        <w:gridCol w:w="3060"/>
        <w:gridCol w:w="9180"/>
      </w:tblGrid>
      <w:tr>
        <w:trPr>
          <w:tblHeader/>
        </w:trPr>
        <w:tc>
          <w:tcPr>
            <w:tcW w:type="dxa" w:w="306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Variable</w:t>
            </w:r>
          </w:p>
        </w:tc>
        <w:tc>
          <w:tcPr>
            <w:tcW w:type="dxa" w:w="918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Descripción</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SECRET_KEY</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Clave secreta de Django (50+ caracteres aleatorios). Nunca reutilizar la de desarrollo.</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DATABASE_URL</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Cadena de conexión PostgreSQL provista automáticamente por Render al vincular la base de datos managed.</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RENDER</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Variable inyectada automáticamente por la plataforma; el sistema la usa para desactivar DEBUG en producción.</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RENDER_EXTERNAL_HOSTNAME</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Inyectada automáticamente por Render; se agrega a ALLOWED_HOSTS sin configuración manual.</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SENDGRID_API_KEY</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Clave de la API HTTP de SendGrid, usada como proveedor de correo si no hay RESEND_API_KEY.</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RESEND_API_KEY</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Clave de Resend (django-anymail). Si está definida, tiene prioridad sobre SendGrid.</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EMAIL_FROM</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Remitente por defecto de los correos transaccionales, ej. "Multiparking &lt;no-reply@multiparking.com&gt;".</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GMAIL_USER / GMAIL_APP_PASSWORD</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Opcional. Uso principalmente en pruebas locales; en producción se recomienda Resend o SendGrid.</w:t>
            </w:r>
          </w:p>
        </w:tc>
      </w:tr>
    </w:tbl>
    <w:p>
      <w:pPr>
        <w:spacing w:before="0" w:after="140"/>
      </w:pPr>
      <w:r>
        <w:rPr>
          <w:rFonts w:ascii="Arial" w:hAnsi="Arial" w:cs="Arial" w:eastAsia="Arial"/>
          <w:b w:val="0"/>
          <w:i w:val="0"/>
          <w:color w:val="000000"/>
          <w:sz w:val="20"/>
        </w:rPr>
        <w:t>Nota. Ninguna variable de conexión a MySQL (DB_HOST, DB_USER, etc.) aplica en Render: la base de datos de producción se resuelve completamente a través de DATABASE_URL.</w:t>
      </w:r>
    </w:p>
    <w:p>
      <w:pPr>
        <w:spacing w:before="280" w:after="120"/>
      </w:pPr>
      <w:r>
        <w:rPr>
          <w:rFonts w:ascii="Arial" w:hAnsi="Arial" w:cs="Arial" w:eastAsia="Arial"/>
          <w:b/>
          <w:i w:val="0"/>
          <w:color w:val="2E6DB4"/>
          <w:sz w:val="24"/>
        </w:rPr>
        <w:t>2.4 Estrategia de ramas y pruebas</w:t>
      </w:r>
    </w:p>
    <w:tbl>
      <w:tblPr>
        <w:tblW w:type="auto" w:w="0"/>
        <w:tblLayout w:type="fixed"/>
        <w:tblLook w:firstColumn="1" w:firstRow="1" w:lastColumn="0" w:lastRow="0" w:noHBand="0" w:noVBand="1" w:val="04A0"/>
        <w:tblW w:type="dxa" w:w="12240"/>
        <w:tblBorders>
          <w:top w:val="single" w:sz="4" w:color="auto"/>
          <w:left w:val="single" w:sz="4" w:color="auto"/>
          <w:bottom w:val="single" w:sz="4" w:color="auto"/>
          <w:right w:val="single" w:sz="4" w:color="auto"/>
          <w:insideH w:val="single" w:sz="4" w:color="auto"/>
          <w:insideV w:val="single" w:sz="4" w:color="auto"/>
        </w:tblBorders>
      </w:tblPr>
      <w:tblGrid>
        <w:gridCol w:w="3060"/>
        <w:gridCol w:w="9180"/>
      </w:tblGrid>
      <w:tr>
        <w:trPr>
          <w:tblHeader/>
        </w:trPr>
        <w:tc>
          <w:tcPr>
            <w:tcW w:type="dxa" w:w="306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Componente</w:t>
            </w:r>
          </w:p>
        </w:tc>
        <w:tc>
          <w:tcPr>
            <w:tcW w:type="dxa" w:w="918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Descripción</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Rama de producción</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main — único punto de despliegue. Cada push a main dispara el redespliegue automático en Render.</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Rama de integración</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No existe una rama develop remota; el rol de "integración" lo cumple el entorno local de cada desarrollador.</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Estrategia</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Todo cambio se desarrolla y prueba primero en local (manage.py runserver + MySQL) antes de subir a main. El push a main equivale al "merge a develop → producción" del flujo tradicional: no hay ambiente intermedio en la nube.</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Checklist antes de push a main</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1) Migraciones generadas y aplicadas localmente sin errores. 2) Pruebas manuales del flujo afectado. 3) python manage.py check sin advertencias críticas. 4) Verificar que no se suban credenciales (.env) al repositorio.</w:t>
            </w:r>
          </w:p>
        </w:tc>
      </w:tr>
    </w:tbl>
    <w:p>
      <w:pPr>
        <w:spacing w:before="400" w:after="160"/>
      </w:pPr>
      <w:r>
        <w:rPr>
          <w:rFonts w:ascii="Arial" w:hAnsi="Arial" w:cs="Arial" w:eastAsia="Arial"/>
          <w:b/>
          <w:i w:val="0"/>
          <w:color w:val="1F4E79"/>
          <w:sz w:val="28"/>
        </w:rPr>
        <w:t>3. Gestión de la base de datos</w:t>
      </w:r>
    </w:p>
    <w:p>
      <w:pPr>
        <w:spacing w:before="280" w:after="120"/>
      </w:pPr>
      <w:r>
        <w:rPr>
          <w:rFonts w:ascii="Arial" w:hAnsi="Arial" w:cs="Arial" w:eastAsia="Arial"/>
          <w:b/>
          <w:i w:val="0"/>
          <w:color w:val="2E6DB4"/>
          <w:sz w:val="24"/>
        </w:rPr>
        <w:t>3.1 Inicialización de la base de datos</w:t>
      </w:r>
    </w:p>
    <w:tbl>
      <w:tblPr>
        <w:tblW w:type="auto" w:w="0"/>
        <w:tblLayout w:type="fixed"/>
        <w:tblLook w:firstColumn="1" w:firstRow="1" w:lastColumn="0" w:lastRow="0" w:noHBand="0" w:noVBand="1" w:val="04A0"/>
        <w:tblW w:type="dxa" w:w="12240"/>
        <w:tblBorders>
          <w:top w:val="single" w:sz="4" w:color="auto"/>
          <w:left w:val="single" w:sz="4" w:color="auto"/>
          <w:bottom w:val="single" w:sz="4" w:color="auto"/>
          <w:right w:val="single" w:sz="4" w:color="auto"/>
          <w:insideH w:val="single" w:sz="4" w:color="auto"/>
          <w:insideV w:val="single" w:sz="4" w:color="auto"/>
        </w:tblBorders>
      </w:tblPr>
      <w:tblGrid>
        <w:gridCol w:w="3060"/>
        <w:gridCol w:w="9180"/>
      </w:tblGrid>
      <w:tr>
        <w:trPr>
          <w:tblHeader/>
        </w:trPr>
        <w:tc>
          <w:tcPr>
            <w:tcW w:type="dxa" w:w="306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Componente</w:t>
            </w:r>
          </w:p>
        </w:tc>
        <w:tc>
          <w:tcPr>
            <w:tcW w:type="dxa" w:w="918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Descripción</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Entorno local</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python manage.py makemigrations seguido de python manage.py migrate sobre MySQL.</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Entorno de producción (Render)</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python manage.py migrate se ejecuta automáticamente dentro de build.sh contra la base PostgreSQL managed.</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Carga de datos iniciales</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scripts/cargar_datos_iniciales.py se ejecuta al final de build.sh (roles, configuración de fidelidad, etc.).</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Usuario administrador</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scripts/create_admin.py crea admin@multiparking.com / admin123 (cambiar la contraseña tras el primer acceso).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Reinicio completo con datos demo</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python scripts/reiniciar_base_datos.py (uso exclusivo en entorno local/MySQL).</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Datos de prueba compatibles con Render</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python scripts/render_datos_prueba.py (PostgreSQL).</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Verificación</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python manage.py dbshell, o cliente PostgreSQL (DBeaver, psql) usando la DATABASE_URL externa de Render.</w:t>
            </w:r>
          </w:p>
        </w:tc>
      </w:tr>
    </w:tbl>
    <w:p>
      <w:pPr>
        <w:spacing w:before="280" w:after="120"/>
      </w:pPr>
      <w:r>
        <w:rPr>
          <w:rFonts w:ascii="Arial" w:hAnsi="Arial" w:cs="Arial" w:eastAsia="Arial"/>
          <w:b/>
          <w:i w:val="0"/>
          <w:color w:val="2E6DB4"/>
          <w:sz w:val="24"/>
        </w:rPr>
        <w:t>3.2 Limpieza de la base de datos respetando claves foráneas</w:t>
      </w:r>
    </w:p>
    <w:p>
      <w:pPr>
        <w:spacing w:before="0" w:after="140"/>
      </w:pPr>
      <w:r>
        <w:rPr>
          <w:rFonts w:ascii="Arial" w:hAnsi="Arial" w:cs="Arial" w:eastAsia="Arial"/>
          <w:b w:val="0"/>
          <w:i w:val="0"/>
          <w:color w:val="000000"/>
          <w:sz w:val="20"/>
        </w:rPr>
        <w:t>En caso de necesitar limpiar la base de datos sin romper integridad referencial, se debe seguir el orden exacto implementado en scripts/reiniciar_base_datos.py, que elimina primero las tablas hijas y termina en las tablas padre:</w:t>
      </w:r>
    </w:p>
    <w:tbl>
      <w:tblPr>
        <w:tblW w:type="auto" w:w="0"/>
        <w:tblLayout w:type="fixed"/>
        <w:tblLook w:firstColumn="1" w:firstRow="1" w:lastColumn="0" w:lastRow="0" w:noHBand="0" w:noVBand="1" w:val="04A0"/>
        <w:tblW w:type="dxa" w:w="12240"/>
        <w:tblBorders>
          <w:top w:val="single" w:sz="4" w:color="auto"/>
          <w:left w:val="single" w:sz="4" w:color="auto"/>
          <w:bottom w:val="single" w:sz="4" w:color="auto"/>
          <w:right w:val="single" w:sz="4" w:color="auto"/>
          <w:insideH w:val="single" w:sz="4" w:color="auto"/>
          <w:insideV w:val="single" w:sz="4" w:color="auto"/>
        </w:tblBorders>
      </w:tblPr>
      <w:tblGrid>
        <w:gridCol w:w="3060"/>
        <w:gridCol w:w="9180"/>
      </w:tblGrid>
      <w:tr>
        <w:trPr>
          <w:tblHeader/>
        </w:trPr>
        <w:tc>
          <w:tcPr>
            <w:tcW w:type="dxa" w:w="306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Orden</w:t>
            </w:r>
          </w:p>
        </w:tc>
        <w:tc>
          <w:tcPr>
            <w:tcW w:type="dxa" w:w="918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Tabla (modelo)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1</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fidelidad_stickers (Sticker)</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2</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novedades (Novedad)</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3</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cupones_aplicados (CuponAplicado)</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4</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cupones (Cupon)</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5</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reservas (Reserva)</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6</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pagos (Pago)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7</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inventario_parqueo (InventarioParqueo)</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8</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espacios (Espacio)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9</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tarifas (Tarifa)</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10</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tipos_espacio (TipoEspacio)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11</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pisos (Piso)</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12</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vehiculos (Vehiculo)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13</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usuarios (Usuario)</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14</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fidelidad_configuracion (ConfiguracionFidelidad)</w:t>
            </w:r>
          </w:p>
        </w:tc>
      </w:tr>
    </w:tbl>
    <w:p>
      <w:pPr>
        <w:spacing w:before="0" w:after="140"/>
      </w:pPr>
      <w:r>
        <w:rPr>
          <w:rFonts w:ascii="Arial" w:hAnsi="Arial" w:cs="Arial" w:eastAsia="Arial"/>
          <w:b w:val="0"/>
          <w:i w:val="0"/>
          <w:color w:val="000000"/>
          <w:sz w:val="20"/>
        </w:rPr>
        <w:t>Nota. En producción, esta limpieza solo debe ejecutarse con un backup verificado y, de ser posible, en horario de bajo tráfico.</w:t>
      </w:r>
    </w:p>
    <w:p>
      <w:pPr>
        <w:spacing w:before="400" w:after="160"/>
      </w:pPr>
      <w:r>
        <w:rPr>
          <w:rFonts w:ascii="Arial" w:hAnsi="Arial" w:cs="Arial" w:eastAsia="Arial"/>
          <w:b/>
          <w:i w:val="0"/>
          <w:color w:val="1F4E79"/>
          <w:sz w:val="28"/>
        </w:rPr>
        <w:t>4. Plan de contingencia y rollback</w:t>
      </w:r>
    </w:p>
    <w:p>
      <w:pPr>
        <w:spacing w:before="280" w:after="120"/>
      </w:pPr>
      <w:r>
        <w:rPr>
          <w:rFonts w:ascii="Arial" w:hAnsi="Arial" w:cs="Arial" w:eastAsia="Arial"/>
          <w:b/>
          <w:i w:val="0"/>
          <w:color w:val="2E6DB4"/>
          <w:sz w:val="24"/>
        </w:rPr>
        <w:t>4.1 Política de backup obligatorio</w:t>
      </w:r>
    </w:p>
    <w:p>
      <w:pPr>
        <w:spacing w:before="0" w:after="140"/>
      </w:pPr>
      <w:r>
        <w:rPr>
          <w:rFonts w:ascii="Arial" w:hAnsi="Arial" w:cs="Arial" w:eastAsia="Arial"/>
          <w:b w:val="0"/>
          <w:i w:val="0"/>
          <w:color w:val="000000"/>
          <w:sz w:val="20"/>
        </w:rPr>
        <w:t>Antes de ejecutar cualquier migración destructiva (renombrar/eliminar campos, cambios de tipo) o cualquier limpieza masiva de datos en producción, es obligatorio generar un respaldo completo de la base de datos PostgreSQL de Render. No se debe ejecutar ningún despliegue con cambios de este tipo sin contar con un backup verificado.</w:t>
      </w:r>
    </w:p>
    <w:p>
      <w:pPr>
        <w:spacing w:before="280" w:after="120"/>
      </w:pPr>
      <w:r>
        <w:rPr>
          <w:rFonts w:ascii="Arial" w:hAnsi="Arial" w:cs="Arial" w:eastAsia="Arial"/>
          <w:b/>
          <w:i w:val="0"/>
          <w:color w:val="2E6DB4"/>
          <w:sz w:val="24"/>
        </w:rPr>
        <w:t>4.2 Procedimiento de backup</w:t>
      </w:r>
    </w:p>
    <w:tbl>
      <w:tblPr>
        <w:tblW w:type="auto" w:w="0"/>
        <w:tblLayout w:type="fixed"/>
        <w:tblLook w:firstColumn="1" w:firstRow="1" w:lastColumn="0" w:lastRow="0" w:noHBand="0" w:noVBand="1" w:val="04A0"/>
        <w:tblW w:type="dxa" w:w="12240"/>
        <w:tblBorders>
          <w:top w:val="single" w:sz="4" w:color="auto"/>
          <w:left w:val="single" w:sz="4" w:color="auto"/>
          <w:bottom w:val="single" w:sz="4" w:color="auto"/>
          <w:right w:val="single" w:sz="4" w:color="auto"/>
          <w:insideH w:val="single" w:sz="4" w:color="auto"/>
          <w:insideV w:val="single" w:sz="4" w:color="auto"/>
        </w:tblBorders>
      </w:tblPr>
      <w:tblGrid>
        <w:gridCol w:w="3060"/>
        <w:gridCol w:w="9180"/>
      </w:tblGrid>
      <w:tr>
        <w:trPr>
          <w:tblHeader/>
        </w:trPr>
        <w:tc>
          <w:tcPr>
            <w:tcW w:type="dxa" w:w="306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Componente</w:t>
            </w:r>
          </w:p>
        </w:tc>
        <w:tc>
          <w:tcPr>
            <w:tcW w:type="dxa" w:w="918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Descripción</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Origen de la conexión</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Copiar la "External Database URL" desde el panel de la base de datos en Render (Dashboard → Base de datos → Connections).</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Comando de backup</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pg_dump "postgresql://usuario:password@host/db" &gt; backup_$(date +%Y%m%d_%H%M%S).sql</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Almacenamiento</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Guardar el archivo .sql localmente y adicionalmente en un almacenamiento externo (Google Drive u otro repositorio de respaldos).</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Frecuencia recomendada</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Antes de cada despliegue con cambios de esquema, y de forma manual periódica (semanal) mientras no exista backup automático propio.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Verificación del backup</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Restaurar en una base local de prueba: psql -U postgres -d multiparking_test &lt; backup.sql</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Tiempo estimado de backup</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1 a 3 minutos, dado el volumen de datos actual del proyecto.</w:t>
            </w:r>
          </w:p>
        </w:tc>
      </w:tr>
    </w:tbl>
    <w:p>
      <w:pPr>
        <w:spacing w:before="280" w:after="120"/>
      </w:pPr>
      <w:r>
        <w:rPr>
          <w:rFonts w:ascii="Arial" w:hAnsi="Arial" w:cs="Arial" w:eastAsia="Arial"/>
          <w:b/>
          <w:i w:val="0"/>
          <w:color w:val="2E6DB4"/>
          <w:sz w:val="24"/>
        </w:rPr>
        <w:t>4.3 Plan de rollback — paso a paso</w:t>
      </w:r>
    </w:p>
    <w:p>
      <w:pPr>
        <w:spacing w:before="0" w:after="140"/>
      </w:pPr>
      <w:r>
        <w:rPr>
          <w:rFonts w:ascii="Arial" w:hAnsi="Arial" w:cs="Arial" w:eastAsia="Arial"/>
          <w:b w:val="0"/>
          <w:i w:val="0"/>
          <w:color w:val="000000"/>
          <w:sz w:val="20"/>
        </w:rPr>
        <w:t>Render no expone una interfaz de contenedores como Dokploy, pero sí conserva el historial de despliegues previos. Si un despliegue falla o introduce errores críticos en producción:</w:t>
      </w:r>
    </w:p>
    <w:tbl>
      <w:tblPr>
        <w:tblW w:type="auto" w:w="0"/>
        <w:tblLayout w:type="fixed"/>
        <w:tblLook w:firstColumn="1" w:firstRow="1" w:lastColumn="0" w:lastRow="0" w:noHBand="0" w:noVBand="1" w:val="04A0"/>
        <w:tblW w:type="dxa" w:w="12240"/>
        <w:tblBorders>
          <w:top w:val="single" w:sz="4" w:color="auto"/>
          <w:left w:val="single" w:sz="4" w:color="auto"/>
          <w:bottom w:val="single" w:sz="4" w:color="auto"/>
          <w:right w:val="single" w:sz="4" w:color="auto"/>
          <w:insideH w:val="single" w:sz="4" w:color="auto"/>
          <w:insideV w:val="single" w:sz="4" w:color="auto"/>
        </w:tblBorders>
      </w:tblPr>
      <w:tblGrid>
        <w:gridCol w:w="3060"/>
        <w:gridCol w:w="9180"/>
      </w:tblGrid>
      <w:tr>
        <w:trPr>
          <w:tblHeader/>
        </w:trPr>
        <w:tc>
          <w:tcPr>
            <w:tcW w:type="dxa" w:w="306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Paso</w:t>
            </w:r>
          </w:p>
        </w:tc>
        <w:tc>
          <w:tcPr>
            <w:tcW w:type="dxa" w:w="918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Descripción</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1 — Detectar la falla</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Revisar la pestaña Logs del servicio en Render inmediatamente después del despliegue.</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2 — Rollback rápido vía Render</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En Render Dashboard → pestaña Deploys, seleccionar el despliegue estable anterior y usar la opción "Redeploy" sobre ese commit.</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3 — Revertir en GitHub (alternativa)</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Si se requiere revertir también el historial: git revert HEAD (preferido) o, si es imprescindible, git reset --hard &lt;commit_anterior&gt; seguido de push a main.</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4 — Redespliegue</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Render detecta el nuevo estado de main (o el redeploy manual) y publica la versión anterior automáticamente.</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5 — Restaurar base de datos si aplica</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Si el despliegue fallido incluyó migraciones destructivas: psql "&lt;DATABASE_URL&gt;" &lt; backup_anterior.sql</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6 — Verificación</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Probar las funcionalidades críticas: login, registro de ingreso/salida, cálculo de tarifa, generación de pago y envío de correo.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Paso 7 — Notificación</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Informar a los interesados sobre el incidente, la causa raíz y el tiempo de recuperación.</w:t>
            </w:r>
          </w:p>
        </w:tc>
      </w:tr>
    </w:tbl>
    <w:p>
      <w:pPr>
        <w:spacing w:before="0" w:after="140"/>
      </w:pPr>
      <w:r>
        <w:rPr>
          <w:rFonts w:ascii="Arial" w:hAnsi="Arial" w:cs="Arial" w:eastAsia="Arial"/>
          <w:b w:val="0"/>
          <w:i w:val="0"/>
          <w:color w:val="000000"/>
          <w:sz w:val="20"/>
        </w:rPr>
        <w:t>Nota importante. git reset --hard reescribe el historial de la rama main; usarlo solo si el equipo está de acuerdo y nadie más tiene cambios pendientes basados en esos commits. git revert es la opción segura por defecto.</w:t>
      </w:r>
    </w:p>
    <w:p>
      <w:pPr>
        <w:spacing w:before="280" w:after="120"/>
      </w:pPr>
      <w:r>
        <w:rPr>
          <w:rFonts w:ascii="Arial" w:hAnsi="Arial" w:cs="Arial" w:eastAsia="Arial"/>
          <w:b/>
          <w:i w:val="0"/>
          <w:color w:val="2E6DB4"/>
          <w:sz w:val="24"/>
        </w:rPr>
        <w:t>4.4 Tiempos estimados de rollback</w:t>
      </w:r>
    </w:p>
    <w:tbl>
      <w:tblPr>
        <w:tblW w:type="auto" w:w="0"/>
        <w:tblLayout w:type="fixed"/>
        <w:tblLook w:firstColumn="1" w:firstRow="1" w:lastColumn="0" w:lastRow="0" w:noHBand="0" w:noVBand="1" w:val="04A0"/>
        <w:tblW w:type="dxa" w:w="12240"/>
        <w:tblBorders>
          <w:top w:val="single" w:sz="4" w:color="auto"/>
          <w:left w:val="single" w:sz="4" w:color="auto"/>
          <w:bottom w:val="single" w:sz="4" w:color="auto"/>
          <w:right w:val="single" w:sz="4" w:color="auto"/>
          <w:insideH w:val="single" w:sz="4" w:color="auto"/>
          <w:insideV w:val="single" w:sz="4" w:color="auto"/>
        </w:tblBorders>
      </w:tblPr>
      <w:tblGrid>
        <w:gridCol w:w="3060"/>
        <w:gridCol w:w="9180"/>
      </w:tblGrid>
      <w:tr>
        <w:trPr>
          <w:tblHeader/>
        </w:trPr>
        <w:tc>
          <w:tcPr>
            <w:tcW w:type="dxa" w:w="306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Escenario</w:t>
            </w:r>
          </w:p>
        </w:tc>
        <w:tc>
          <w:tcPr>
            <w:tcW w:type="dxa" w:w="918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Tiempo estimado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Redeploy de un despliegue anterior (sin cambios en BD)</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3 a 6 minutos (tiempo de build de Render)</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Revertir código en GitHub + redeploy</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5 a 10 minutos</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Restaurar base de datos (backup &lt; 500 MB)</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5 a 10 minutos</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Rollback completo (código + base de datos)</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10 a 20 minutos</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Tiempo máximo de inactividad aceptable</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30 minutos</w:t>
            </w:r>
          </w:p>
        </w:tc>
      </w:tr>
    </w:tbl>
    <w:p>
      <w:pPr>
        <w:spacing w:before="400" w:after="160"/>
      </w:pPr>
      <w:r>
        <w:rPr>
          <w:rFonts w:ascii="Arial" w:hAnsi="Arial" w:cs="Arial" w:eastAsia="Arial"/>
          <w:b/>
          <w:i w:val="0"/>
          <w:color w:val="1F4E79"/>
          <w:sz w:val="28"/>
        </w:rPr>
        <w:t>5. Verificación y pruebas</w:t>
      </w:r>
    </w:p>
    <w:p>
      <w:pPr>
        <w:spacing w:before="280" w:after="120"/>
      </w:pPr>
      <w:r>
        <w:rPr>
          <w:rFonts w:ascii="Arial" w:hAnsi="Arial" w:cs="Arial" w:eastAsia="Arial"/>
          <w:b/>
          <w:i w:val="0"/>
          <w:color w:val="2E6DB4"/>
          <w:sz w:val="24"/>
        </w:rPr>
        <w:t>5.1 Pruebas previas al despliegue (en local)</w:t>
      </w:r>
    </w:p>
    <w:tbl>
      <w:tblPr>
        <w:tblW w:type="auto" w:w="0"/>
        <w:tblLayout w:type="fixed"/>
        <w:tblLook w:firstColumn="1" w:firstRow="1" w:lastColumn="0" w:lastRow="0" w:noHBand="0" w:noVBand="1" w:val="04A0"/>
        <w:tblW w:type="dxa" w:w="12240"/>
        <w:tblBorders>
          <w:top w:val="single" w:sz="4" w:color="auto"/>
          <w:left w:val="single" w:sz="4" w:color="auto"/>
          <w:bottom w:val="single" w:sz="4" w:color="auto"/>
          <w:right w:val="single" w:sz="4" w:color="auto"/>
          <w:insideH w:val="single" w:sz="4" w:color="auto"/>
          <w:insideV w:val="single" w:sz="4" w:color="auto"/>
        </w:tblBorders>
      </w:tblPr>
      <w:tblGrid>
        <w:gridCol w:w="3060"/>
        <w:gridCol w:w="9180"/>
      </w:tblGrid>
      <w:tr>
        <w:trPr>
          <w:tblHeader/>
        </w:trPr>
        <w:tc>
          <w:tcPr>
            <w:tcW w:type="dxa" w:w="306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Verificación</w:t>
            </w:r>
          </w:p>
        </w:tc>
        <w:tc>
          <w:tcPr>
            <w:tcW w:type="dxa" w:w="918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Descripción</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Migraciones al día</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python manage.py makemigrations --check --dry-run no debe reportar migraciones faltantes.</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Variables de entorno</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Confirmar que .env local refleja las mismas claves que se configurarán en Render (sección 2.3), sin subir el archivo al repositorio.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Prueba de flujo completo</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Registrar ingreso y salida de un vehículo, verificar cálculo de tarifa, aplicación de cupón y generación de pago.</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Prueba de autenticación</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Verificar login/logout para los tres roles: ADMIN, VIGILANTE y CLIENTE.</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Prueba de notificaciones</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Confirmar envío de correo (recuperación de contraseña o novedad) usando /admin-panel/ → herramienta de prueba de correo.</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Revisión de checks de Django</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python manage.py check --deploy antes de subir cambios de configuración de seguridad.</w:t>
            </w:r>
          </w:p>
        </w:tc>
      </w:tr>
    </w:tbl>
    <w:p>
      <w:pPr>
        <w:spacing w:before="280" w:after="120"/>
      </w:pPr>
      <w:r>
        <w:rPr>
          <w:rFonts w:ascii="Arial" w:hAnsi="Arial" w:cs="Arial" w:eastAsia="Arial"/>
          <w:b/>
          <w:i w:val="0"/>
          <w:color w:val="2E6DB4"/>
          <w:sz w:val="24"/>
        </w:rPr>
        <w:t>5.2 Plan de revisión post-despliegue</w:t>
      </w:r>
    </w:p>
    <w:tbl>
      <w:tblPr>
        <w:tblW w:type="auto" w:w="0"/>
        <w:tblLayout w:type="fixed"/>
        <w:tblLook w:firstColumn="1" w:firstRow="1" w:lastColumn="0" w:lastRow="0" w:noHBand="0" w:noVBand="1" w:val="04A0"/>
        <w:tblW w:type="dxa" w:w="12240"/>
        <w:tblBorders>
          <w:top w:val="single" w:sz="4" w:color="auto"/>
          <w:left w:val="single" w:sz="4" w:color="auto"/>
          <w:bottom w:val="single" w:sz="4" w:color="auto"/>
          <w:right w:val="single" w:sz="4" w:color="auto"/>
          <w:insideH w:val="single" w:sz="4" w:color="auto"/>
          <w:insideV w:val="single" w:sz="4" w:color="auto"/>
        </w:tblBorders>
      </w:tblPr>
      <w:tblGrid>
        <w:gridCol w:w="3060"/>
        <w:gridCol w:w="9180"/>
      </w:tblGrid>
      <w:tr>
        <w:trPr>
          <w:tblHeader/>
        </w:trPr>
        <w:tc>
          <w:tcPr>
            <w:tcW w:type="dxa" w:w="306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Componente</w:t>
            </w:r>
          </w:p>
        </w:tc>
        <w:tc>
          <w:tcPr>
            <w:tcW w:type="dxa" w:w="918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Descripción</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Monitoreo de logs</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Revisar los logs del servicio en Render durante las primeras 24 horas tras el despliegue.</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Disponibilidad</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Configurar un monitor externo gratuito (ej. UptimeRobot) apuntando a https://multiparking-django.onrender.com para alertas de caída.</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Uso de la base de datos</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Revisar en el panel de Render el consumo de almacenamiento y conexiones de la base PostgreSQL managed.</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Cold start (plan Free)</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Verificar que el primer acceso tras inactividad (spin-down) cargue correctamente, ya que el plan gratuito suspende el servicio sin tráfico.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Revisión semanal</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Revisar el crecimiento de datos (vehículos, parqueos, pagos) y los correos fallidos en el proveedor de email.</w:t>
            </w:r>
          </w:p>
        </w:tc>
      </w:tr>
    </w:tbl>
    <w:p>
      <w:pPr>
        <w:spacing w:before="280" w:after="120"/>
      </w:pPr>
      <w:r>
        <w:rPr>
          <w:rFonts w:ascii="Arial" w:hAnsi="Arial" w:cs="Arial" w:eastAsia="Arial"/>
          <w:b/>
          <w:i w:val="0"/>
          <w:color w:val="2E6DB4"/>
          <w:sz w:val="24"/>
        </w:rPr>
        <w:t>5.3 Checklist de despliegue exitoso</w:t>
      </w:r>
    </w:p>
    <w:tbl>
      <w:tblPr>
        <w:tblW w:type="auto" w:w="0"/>
        <w:tblLayout w:type="fixed"/>
        <w:tblLook w:firstColumn="1" w:firstRow="1" w:lastColumn="0" w:lastRow="0" w:noHBand="0" w:noVBand="1" w:val="04A0"/>
        <w:tblW w:type="dxa" w:w="12240"/>
        <w:tblBorders>
          <w:top w:val="single" w:sz="4" w:color="auto"/>
          <w:left w:val="single" w:sz="4" w:color="auto"/>
          <w:bottom w:val="single" w:sz="4" w:color="auto"/>
          <w:right w:val="single" w:sz="4" w:color="auto"/>
          <w:insideH w:val="single" w:sz="4" w:color="auto"/>
          <w:insideV w:val="single" w:sz="4" w:color="auto"/>
        </w:tblBorders>
      </w:tblPr>
      <w:tblGrid>
        <w:gridCol w:w="3060"/>
        <w:gridCol w:w="9180"/>
      </w:tblGrid>
      <w:tr>
        <w:trPr>
          <w:tblHeader/>
        </w:trPr>
        <w:tc>
          <w:tcPr>
            <w:tcW w:type="dxa" w:w="306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Ítem</w:t>
            </w:r>
          </w:p>
        </w:tc>
        <w:tc>
          <w:tcPr>
            <w:tcW w:type="dxa" w:w="9180"/>
            <w:shd w:val="clear" w:fill="404040"/>
            <w:tcBorders>
              <w:top w:val="single" w:sz="1" w:color="000000"/>
              <w:left w:val="single" w:sz="1" w:color="000000"/>
              <w:bottom w:val="single" w:sz="1" w:color="000000"/>
              <w:right w:val="single" w:sz="1" w:color="000000"/>
            </w:tcBorders>
            <w:tcMar>
              <w:top w:w="80" w:type="dxa"/>
              <w:left w:w="120" w:type="dxa"/>
              <w:bottom w:w="80" w:type="dxa"/>
              <w:right w:w="120" w:type="dxa"/>
            </w:tcMar>
            <w:vAlign w:val="center"/>
          </w:tcPr>
          <w:p>
            <w:pPr>
              <w:jc w:val="center"/>
            </w:pPr>
            <w:r>
              <w:rPr>
                <w:rFonts w:ascii="Arial" w:hAnsi="Arial" w:cs="Arial" w:eastAsia="Arial"/>
                <w:b/>
                <w:i w:val="0"/>
                <w:color w:val="FFFFFF"/>
                <w:sz w:val="18"/>
              </w:rPr>
              <w:t>Detalle</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Backup realizado (si hubo cambios de esquema)</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Obligatorio antes de migraciones destructivas.</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Variables de entorno configuradas</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Todas las de la sección 2.3 presentes en el panel de Render.</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Migraciones aplicadas</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Sin errores en el paso python manage.py migrate del build.</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Sitio accesible vía HTTPS</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https://multiparking-django.onrender.com carga correctamente.</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Login funcional</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Los tres roles (ADMIN, VIGILANTE, CLIENTE) autentican correctamente.</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Flujo de ingreso/salida operativo</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Se puede registrar un vehículo, calcular tarifa y generar el pago.</w:t>
            </w:r>
          </w:p>
        </w:tc>
      </w:tr>
      <w:tr>
        <w:tc>
          <w:tcPr>
            <w:tcW w:type="dxa" w:w="306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Correo transaccional operativo</w:t>
            </w:r>
          </w:p>
        </w:tc>
        <w:tc>
          <w:tcPr>
            <w:tcW w:type="dxa" w:w="9180"/>
            <w:shd w:val="clear" w:fill="FFFFFF"/>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Prueba de envío exitosa (Resend o SendGrid).</w:t>
            </w:r>
          </w:p>
        </w:tc>
      </w:tr>
      <w:tr>
        <w:tc>
          <w:tcPr>
            <w:tcW w:type="dxa" w:w="306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Logs sin errores críticos</w:t>
            </w:r>
          </w:p>
        </w:tc>
        <w:tc>
          <w:tcPr>
            <w:tcW w:type="dxa" w:w="9180"/>
            <w:shd w:val="clear" w:fill="F2F2F2"/>
            <w:tcBorders>
              <w:top w:val="single" w:sz="1" w:color="000000"/>
              <w:left w:val="single" w:sz="1" w:color="000000"/>
              <w:bottom w:val="single" w:sz="1" w:color="000000"/>
              <w:right w:val="single" w:sz="1" w:color="000000"/>
            </w:tcBorders>
            <w:tcMar>
              <w:top w:w="60" w:type="dxa"/>
              <w:left w:w="120" w:type="dxa"/>
              <w:bottom w:w="60" w:type="dxa"/>
              <w:right w:w="120" w:type="dxa"/>
            </w:tcMar>
            <w:vAlign w:val="center"/>
          </w:tcPr>
          <w:p>
            <w:r>
              <w:rPr>
                <w:rFonts w:ascii="Arial" w:hAnsi="Arial" w:cs="Arial" w:eastAsia="Arial"/>
                <w:b w:val="0"/>
                <w:i w:val="0"/>
                <w:color w:val="000000"/>
                <w:sz w:val="18"/>
              </w:rPr>
              <w:t>Revisados en Render durante las primeras horas post-despliegue.</w:t>
            </w:r>
          </w:p>
        </w:tc>
      </w:tr>
    </w:tbl>
    <w:p>
      <w:pPr>
        <w:spacing w:before="400" w:after="160"/>
      </w:pPr>
      <w:r>
        <w:rPr>
          <w:rFonts w:ascii="Arial" w:hAnsi="Arial" w:cs="Arial" w:eastAsia="Arial"/>
          <w:b/>
          <w:i w:val="0"/>
          <w:color w:val="1F4E79"/>
          <w:sz w:val="28"/>
        </w:rPr>
        <w:t>Referencias</w:t>
      </w:r>
    </w:p>
    <w:p>
      <w:pPr>
        <w:spacing w:before="0" w:after="140"/>
      </w:pPr>
      <w:r>
        <w:rPr>
          <w:rFonts w:ascii="Arial" w:hAnsi="Arial" w:cs="Arial" w:eastAsia="Arial"/>
          <w:b w:val="0"/>
          <w:i w:val="0"/>
          <w:color w:val="000000"/>
          <w:sz w:val="20"/>
        </w:rPr>
        <w:t>Django Software Foundation. (2024). Deploying Django. https://docs.djangoproject.com/en/6.0/howto/deployment/</w:t>
      </w:r>
    </w:p>
    <w:p>
      <w:pPr>
        <w:spacing w:before="0" w:after="140"/>
      </w:pPr>
      <w:r>
        <w:rPr>
          <w:rFonts w:ascii="Arial" w:hAnsi="Arial" w:cs="Arial" w:eastAsia="Arial"/>
          <w:b w:val="0"/>
          <w:i w:val="0"/>
          <w:color w:val="000000"/>
          <w:sz w:val="20"/>
        </w:rPr>
        <w:t>PostgreSQL Global Development Group. (2024). PostgreSQL 16 documentation. https://www.postgresql.org/docs/16/</w:t>
      </w:r>
    </w:p>
    <w:p>
      <w:pPr>
        <w:spacing w:before="0" w:after="140"/>
      </w:pPr>
      <w:r>
        <w:rPr>
          <w:rFonts w:ascii="Arial" w:hAnsi="Arial" w:cs="Arial" w:eastAsia="Arial"/>
          <w:b w:val="0"/>
          <w:i w:val="0"/>
          <w:color w:val="000000"/>
          <w:sz w:val="20"/>
        </w:rPr>
        <w:t>Render. (2024). Render documentation. https://render.com/docs</w:t>
      </w:r>
    </w:p>
    <w:p>
      <w:pPr>
        <w:spacing w:before="0" w:after="140"/>
      </w:pPr>
      <w:r>
        <w:rPr>
          <w:rFonts w:ascii="Arial" w:hAnsi="Arial" w:cs="Arial" w:eastAsia="Arial"/>
          <w:b w:val="0"/>
          <w:i w:val="0"/>
          <w:color w:val="000000"/>
          <w:sz w:val="20"/>
        </w:rPr>
        <w:t>SendGrid. (2024). SendGrid email API documentation. https://docs.sendgrid.com/</w:t>
      </w:r>
    </w:p>
    <w:p>
      <w:pPr>
        <w:spacing w:before="0" w:after="140"/>
      </w:pPr>
      <w:r>
        <w:rPr>
          <w:rFonts w:ascii="Arial" w:hAnsi="Arial" w:cs="Arial" w:eastAsia="Arial"/>
          <w:b w:val="0"/>
          <w:i w:val="0"/>
          <w:color w:val="000000"/>
          <w:sz w:val="20"/>
        </w:rPr>
        <w:t>Resend. (2024). Resend documentation. https://resend.com/docs</w:t>
      </w:r>
    </w:p>
    <w:p>
      <w:pPr>
        <w:spacing w:before="0" w:after="140"/>
      </w:pPr>
      <w:r>
        <w:rPr>
          <w:rFonts w:ascii="Arial" w:hAnsi="Arial" w:cs="Arial" w:eastAsia="Arial"/>
          <w:b w:val="0"/>
          <w:i w:val="0"/>
          <w:color w:val="000000"/>
          <w:sz w:val="20"/>
        </w:rPr>
        <w:t>WhiteNoise. (2024). WhiteNoise documentation. https://whitenoise.readthedocs.io/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