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Südafrika</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Südafrika ist der größte CO2-Emittent Afrikas. Die CO2-Emissionen lagen 2019 bei etwa 470 Millionen Tonnen und 2023 bei rund 430 Millionen Tonnen. Pro Kopf betrugen sie etwa 7 bis 8 Tonnen CO2. Die Hauptursache ist die Stromerzeugung aus Kohle.</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Temperatur:</w:t>
        <w:br w:type="textWrapping"/>
        <w:t xml:space="preserve"> Zwischen 2019 und 2025 stieg die Durchschnittstemperatur um etwa 0,5 °C. Hitzewellen treten häufiger auf und dauern länger.</w:t>
        <w:br w:type="textWrapping"/>
        <w:t xml:space="preserve"> </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Extremwetter:</w:t>
        <w:br w:type="textWrapping"/>
        <w:t xml:space="preserve"> Südafrika ist zunehmend von Dürren, Starkregen und Überschwemmungen betroffen. Besonders die schweren Überschwemmungen in KwaZulu-Natal im Jahr 2022 verursachten große Schäden.</w:t>
        <w:br w:type="textWrapping"/>
        <w:t xml:space="preserve"> </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Klimagerechtigkeit:</w:t>
        <w:br w:type="textWrapping"/>
        <w:t xml:space="preserve"> Südafrika verursacht deutlich mehr CO2  als die meisten afrikanischen Länder, ist aber gleichzeitig stark von den Folgen des Klimawandels betroffen. Das Land muss deshalb sowohl seine Emissionen senken als auch Maßnahmen zur Anpassung an den Klimawandel umsetzen.</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