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680"/>
        <w:jc w:val="center"/>
      </w:pPr>
      <w:r>
        <w:drawing>
          <wp:inline xmlns:a="http://schemas.openxmlformats.org/drawingml/2006/main" xmlns:pic="http://schemas.openxmlformats.org/drawingml/2006/picture">
            <wp:extent cx="20574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eflow-erp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Microsoft YaHei"/>
          <w:b/>
          <w:color w:val="13A4D9"/>
          <w:sz w:val="18"/>
        </w:rPr>
        <w:t>XeFlow DOCUMENTATION</w:t>
      </w:r>
    </w:p>
    <w:p>
      <w:pPr>
        <w:spacing w:after="240"/>
        <w:jc w:val="center"/>
      </w:pPr>
      <w:r>
        <w:rPr>
          <w:rFonts w:ascii="Arial" w:hAnsi="Arial" w:eastAsia="Microsoft YaHei"/>
          <w:b/>
          <w:color w:val="0B2545"/>
          <w:sz w:val="54"/>
        </w:rPr>
        <w:t>XeFlow 开发与部署手册</w:t>
      </w:r>
    </w:p>
    <w:p>
      <w:pPr>
        <w:spacing w:after="720"/>
        <w:jc w:val="center"/>
      </w:pPr>
      <w:r>
        <w:rPr>
          <w:rFonts w:ascii="Arial" w:hAnsi="Arial" w:eastAsia="Microsoft YaHei"/>
          <w:color w:val="667085"/>
          <w:sz w:val="25"/>
        </w:rPr>
        <w:t>架构、环境、权限、接口、数据、测试、发布与运维规范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适用对象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开发人员、测试人员、DevOps、系统管理员、安全审计人员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系统版本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Open-source / main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文档编号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ERP-DEV-2026-01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发布日期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2026-07-27</w:t>
            </w:r>
          </w:p>
        </w:tc>
      </w:tr>
    </w:tbl>
    <w:p>
      <w:pPr>
        <w:spacing w:before="600" w:after="0"/>
        <w:jc w:val="center"/>
      </w:pPr>
      <w:r>
        <w:rPr>
          <w:rFonts w:ascii="Arial" w:hAnsi="Arial" w:eastAsia="Microsoft YaHei"/>
          <w:color w:val="667085"/>
          <w:sz w:val="17"/>
        </w:rPr>
        <w:t>开源版  |  操作以实际部署版本和账号权限为准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4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本册用途  </w:t>
            </w:r>
            <w:r>
              <w:rPr>
                <w:rFonts w:ascii="Arial" w:hAnsi="Arial" w:eastAsia="Microsoft YaHei"/>
                <w:color w:val="263548"/>
                <w:sz w:val="19"/>
              </w:rPr>
              <w:t>为系统二次开发、测试、部署、升级、备份、安全审查和故障恢复提供统一技术基线。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27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系统名称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XeFlow 外贸 ERP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系统版本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Open-source / main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源码基线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Initial public release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文档版本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V1.0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适用环境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本地开发环境、阿里云 ECS 试运营/生产环境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维护原则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界面、权限、业务状态或接口发生变化时同步更新文档与截图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截图说明  </w:t>
            </w:r>
            <w:r>
              <w:rPr>
                <w:rFonts w:ascii="Arial" w:hAnsi="Arial" w:eastAsia="Microsoft YaHei"/>
                <w:color w:val="263548"/>
                <w:sz w:val="19"/>
              </w:rPr>
              <w:t>截图用于说明页面位置和操作路径。不同角色看到的菜单、按钮和数据范围可能不同；若页面与截图略有差异，请以当前已部署版本和管理员分配的权限为准。</w:t>
            </w:r>
          </w:p>
        </w:tc>
      </w:tr>
    </w:tbl>
    <w:p>
      <w:pPr>
        <w:spacing w:after="0"/>
      </w:pPr>
    </w:p>
    <w:p>
      <w:pPr>
        <w:pStyle w:val="Heading1"/>
      </w:pPr>
      <w:r>
        <w:t>目录与阅读建议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项目概述与技术栈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总体架构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代码结构与分层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本地开发环境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配置与密钥管理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数据库与迁移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认证、RBAC 与数据权限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核心业务状态机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API 与异常规范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文件、模板与定时任务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前端工程规范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测试与验收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Docker/ECS 部署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备份恢复与监控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发布与 Git 工作流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故障排查与安全清单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7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阅读方式  </w:t>
            </w:r>
            <w:r>
              <w:rPr>
                <w:rFonts w:ascii="Arial" w:hAnsi="Arial" w:eastAsia="Microsoft YaHei"/>
                <w:color w:val="263548"/>
                <w:sz w:val="19"/>
              </w:rPr>
              <w:t>首次使用建议按顺序阅读；已有经验的用户可直接跳到“按角色操作清单”或具体模块。Word 中可使用“导航窗格”按标题快速定位。</w:t>
            </w:r>
          </w:p>
        </w:tc>
      </w:tr>
    </w:tbl>
    <w:p>
      <w:pPr>
        <w:spacing w:after="0"/>
      </w:pPr>
    </w:p>
    <w:p>
      <w:pPr>
        <w:pStyle w:val="Heading1"/>
      </w:pPr>
      <w:r>
        <w:t>1. 项目概述与技术栈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XeFlow 是前后端分离的外贸业务管理系统，服务客户发展、销售、采购、出货、库存、财务、报表和内部协作。后端持有最终权限与业务规则，前端负责交互、路由和权限提示。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9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324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技术/组件</w:t>
            </w:r>
          </w:p>
        </w:tc>
        <w:tc>
          <w:tcPr>
            <w:tcW w:type="dxa" w:w="482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职责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前端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Vue 3、TypeScript、Vite、Element Plus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路由、页面、表单、图表、权限可见性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后端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Java、Spring Boot、Spring Security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REST API、认证、业务事务、审计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数据访问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MyBatis-Plus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实体、Mapper、分页与逻辑删除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数据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MySQL 8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业务、RBAC、审计、通知和文档元数据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缓存/会话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Redis 或 memory TokenStore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登录态与多实例共享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文档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Apache POI / Excel 模板 / PDF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PI、PO、SI、出货单和报表导出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部署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Docker Compose、Nginx、阿里云 ECS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容器编排、静态资源、反向代理、HTTPS</w:t>
            </w:r>
          </w:p>
        </w:tc>
      </w:tr>
    </w:tbl>
    <w:p>
      <w:pPr>
        <w:spacing w:after="0"/>
      </w:pPr>
    </w:p>
    <w:p>
      <w:pPr>
        <w:pStyle w:val="Heading1"/>
      </w:pPr>
      <w:r>
        <w:t>2. 总体架构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1  系统分层与基础设施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所有业务请求经 /api 进入 Spring Security。认证成功后先执行权限码检查，再由数据权限守卫校验记录归属，最后进入领域服务和数据库事务。文件下载还需额外完成路径归一化与根目录校验。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3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2  业务域之间的主单据链路</w:t>
      </w:r>
    </w:p>
    <w:p>
      <w:pPr>
        <w:pStyle w:val="Heading1"/>
      </w:pPr>
      <w:r>
        <w:t>3. 代码结构与分层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73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目录/包</w:t>
            </w:r>
          </w:p>
        </w:tc>
        <w:tc>
          <w:tcPr>
            <w:tcW w:type="dxa" w:w="309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352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约束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erp-frontend/src/views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业务页面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只处理展示和交互，不作为最终权限边界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erp-frontend/src/api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类型化 API 客户端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统一走请求封装，不在页面散写 URL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erp-frontend/src/router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静态路由映射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菜单来自后端，组件路由需保持对应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com.erp.common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响应、异常、安全、审计、文件与文档工具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共享规则放此处前先确认跨域复用价值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com.erp.system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认证、用户、角色、权限、邀请码、审计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超级管理员保护必须在后端实现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com.erp.basedata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客户、产品、BOM、汇率、附件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客户查询使用 customerCode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com.erp.sales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产品报价、销售报价、PI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状态机和 ownerId 数据范围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com.erp.order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OEM、PO、出货指示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关联 PI 及多产品明细一致性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com.erp.shipment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出货单与导出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库存与 PI 出货状态联动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com.erp.finance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流水、应收、应付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原币结算与 CNY 报表转换分离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com.erp.report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采购、销售、利润、业务员业绩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统一统计口径与下钻来源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4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分层原则  </w:t>
            </w:r>
            <w:r>
              <w:rPr>
                <w:rFonts w:ascii="Arial" w:hAnsi="Arial" w:eastAsia="Microsoft YaHei"/>
                <w:color w:val="263548"/>
                <w:sz w:val="19"/>
              </w:rPr>
              <w:t>Controller 负责参数、权限注解和响应；Service 负责业务规则、数据范围、事务与状态联动；Mapper 只负责数据访问。</w:t>
            </w:r>
          </w:p>
        </w:tc>
      </w:tr>
    </w:tbl>
    <w:p>
      <w:pPr>
        <w:spacing w:after="0"/>
      </w:pPr>
    </w:p>
    <w:p>
      <w:pPr>
        <w:pStyle w:val="Heading1"/>
      </w:pPr>
      <w:r>
        <w:t>4. 本地开发环境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依赖</w:t>
            </w:r>
          </w:p>
        </w:tc>
        <w:tc>
          <w:tcPr>
            <w:tcW w:type="dxa" w:w="273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建议版本</w:t>
            </w:r>
          </w:p>
        </w:tc>
        <w:tc>
          <w:tcPr>
            <w:tcW w:type="dxa" w:w="475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检查命令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JDK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17+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java -version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Maven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3.9+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mvn -version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Node.js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18/20+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node -v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npm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9+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npm -v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MySQL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8.0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mysql --version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Redis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7（生产推荐）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redis-cli ping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Docker Desktop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当前稳定版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docker version</w:t>
            </w:r>
          </w:p>
        </w:tc>
      </w:tr>
    </w:tbl>
    <w:p>
      <w:pPr>
        <w:spacing w:after="0"/>
      </w:pPr>
    </w:p>
    <w:p>
      <w:pPr>
        <w:pStyle w:val="Heading2"/>
      </w:pPr>
      <w:r>
        <w:t>启动方式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在仓库根目录准备本机 MySQL 数据库和配置。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运行 ./start-dev.ps1 -Store memory 启动后端与前端；调试 Redis 时使用相应参数。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访问 http://localhost:8080/api/actuator/health，确认后端为 UP。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访问 http://localhost:5173，使用测试账号执行冒烟测试。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结束开发时运行 ./stop-dev.ps1，避免端口和旧进程干扰后续测试。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服务</w:t>
            </w:r>
          </w:p>
        </w:tc>
        <w:tc>
          <w:tcPr>
            <w:tcW w:type="dxa" w:w="460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默认地址</w:t>
            </w:r>
          </w:p>
        </w:tc>
        <w:tc>
          <w:tcPr>
            <w:tcW w:type="dxa" w:w="302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前端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http://localhost:5173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开发页面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后端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http://localhost:8080/api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REST API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健康检查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http://localhost:8080/api/actuator/health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进程和依赖健康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Knife4j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http://localhost:8080/api/doc.html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仅开发/授权环境启用</w:t>
            </w:r>
          </w:p>
        </w:tc>
      </w:tr>
    </w:tbl>
    <w:p>
      <w:pPr>
        <w:spacing w:after="0"/>
      </w:pPr>
    </w:p>
    <w:p>
      <w:pPr>
        <w:pStyle w:val="Heading1"/>
      </w:pPr>
      <w:r>
        <w:t>5. 配置与密钥管理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变量</w:t>
            </w:r>
          </w:p>
        </w:tc>
        <w:tc>
          <w:tcPr>
            <w:tcW w:type="dxa" w:w="3311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38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生产要求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MYSQL_*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数据库名、用户和密码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独立低权限账号；不得使用 root 作为应用账号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REDIS_PASSWORD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Redis 认证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随机强密码，端口不暴露公网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ERP_JWT_SECRET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JWT 签名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至少 64 位随机值，定期轮换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ERP_REGISTER_CODE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兼容注册门禁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优先使用数据库邀请码；不得写入仓库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ERP_CORS_ORIGINS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允许前端来源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只允许正式 HTTPS 域名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MAIL_*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SMTP 主机、端口、账号、授权码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授权码作为密钥，不写日志与文档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UPLOAD_ROOT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附件和共享文件目录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挂载持久卷并与数据库一起备份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密钥红线  </w:t>
            </w:r>
            <w:r>
              <w:rPr>
                <w:rFonts w:ascii="Arial" w:hAnsi="Arial" w:eastAsia="Microsoft YaHei"/>
                <w:color w:val="263548"/>
                <w:sz w:val="19"/>
              </w:rPr>
              <w:t>仓库、Word/PDF、截图、日志、公告和审计记录中不得出现真实密码、SMTP 授权码、JWT secret 或数据库密钥。</w:t>
            </w:r>
          </w:p>
        </w:tc>
      </w:tr>
    </w:tbl>
    <w:p>
      <w:pPr>
        <w:spacing w:after="0"/>
      </w:pPr>
    </w:p>
    <w:p>
      <w:pPr>
        <w:pStyle w:val="Heading1"/>
      </w:pPr>
      <w:r>
        <w:t>6. 数据库与迁移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正式结构由 sql/ 中编号脚本和实体定义共同维护。迁移脚本必须可审查、尽量幂等，并明确是否会锁表、回填数据或改变唯一键。演示数据只放 docs/sample-data，不参与正式初始化。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56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关键规则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逻辑删除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唯一键设计必须考虑 deleted 字段；删除后重新创建同业务编码不能在二次删除时冲突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客户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对外使用 customerCode；数据库 id 只用于内部关联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PI/PO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主表与明细在同一事务保存；确认、入库、收付款状态联动需幂等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出货指示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主表 + shipping_instruction_item 多明细；历史单行记录需兼容回退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流水保留原币；应收应付结清按原币累计；报表再统一换算 CNY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审计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参数递归脱敏；异常摘要限制长度，避免泄露 SQL/敏感信息</w:t>
            </w:r>
          </w:p>
        </w:tc>
      </w:tr>
    </w:tbl>
    <w:p>
      <w:pPr>
        <w:spacing w:after="0"/>
      </w:pPr>
    </w:p>
    <w:p>
      <w:pPr>
        <w:pStyle w:val="Heading2"/>
      </w:pPr>
      <w:r>
        <w:t>迁移发布步骤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导出数据库与上传文件备份，验证备份可读取。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在测试库执行迁移，记录耗时、警告和影响行数。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运行后端测试、前端构建和关键业务回归。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维护窗口内执行正式迁移和容器升级。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验证表结构、关键数据、健康检查和业务账号。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保留回滚脚本或上一版本镜像，确认稳定后再清理旧资源。</w:t>
      </w:r>
    </w:p>
    <w:p>
      <w:pPr>
        <w:pStyle w:val="Heading1"/>
      </w:pPr>
      <w:r>
        <w:t>7. 认证、RBAC 与数据权限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登录返回 JWT，后续请求使用 Authorization: Bearer &lt;token&gt;。权限由用户角色并集形成，后端 @PreAuthorize 和 DataAccessGuard 共同决定是否允许操作。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控制层</w:t>
            </w:r>
          </w:p>
        </w:tc>
        <w:tc>
          <w:tcPr>
            <w:tcW w:type="dxa" w:w="3671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作用</w:t>
            </w:r>
          </w:p>
        </w:tc>
        <w:tc>
          <w:tcPr>
            <w:tcW w:type="dxa" w:w="38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禁止做法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菜单权限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决定侧边栏可见模块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不能把隐藏菜单当成唯一安全措施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按钮权限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决定新建、编辑、删除、审核、导出等入口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后端仍需同名权限校验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数据权限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按 ownerId、关联 PI ownerId 或 createBy 限制记录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不能信任前端提交的隐藏数据库 ID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角色策略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最多 3 角色；只读互斥；管理员折叠显示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不能修改其他用户为超级管理员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超级管理员保护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admin 唯一且不可删除、停用、改角色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不能只在前端禁用控件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7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安全评审点  </w:t>
            </w:r>
            <w:r>
              <w:rPr>
                <w:rFonts w:ascii="Arial" w:hAnsi="Arial" w:eastAsia="Microsoft YaHei"/>
                <w:color w:val="263548"/>
                <w:sz w:val="19"/>
              </w:rPr>
              <w:t>新增任何详情、导出、下载、附件、修改或删除接口时，都必须复用服务端数据可见性校验。</w:t>
            </w:r>
          </w:p>
        </w:tc>
      </w:tr>
    </w:tbl>
    <w:p>
      <w:pPr>
        <w:spacing w:after="0"/>
      </w:pPr>
    </w:p>
    <w:p>
      <w:pPr>
        <w:pStyle w:val="Heading1"/>
      </w:pPr>
      <w:r>
        <w:t>8. 核心业务状态机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领域</w:t>
            </w:r>
          </w:p>
        </w:tc>
        <w:tc>
          <w:tcPr>
            <w:tcW w:type="dxa" w:w="2951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状态/事件</w:t>
            </w:r>
          </w:p>
        </w:tc>
        <w:tc>
          <w:tcPr>
            <w:tcW w:type="dxa" w:w="496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后端约束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PI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DRAFT → CONFIRMED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确认前校验客户、币种和至少一条有效明细；草稿 2 小时清理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PI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CONFIRMED → ORDERED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定金为 0 或登记定金后触发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PI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ORDERED → SHIPPED/COMPLETED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结清全款、库存校验、部分/全部出货联动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PO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DRAFT → CONFIRMED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确认前校验采购明细；确认后进入应付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PO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CONFIRMED → IN_PROGRESS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部分到货入库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PO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IN_PROGRESS → COMPLETED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全部数量入库并登记库存流水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Shipment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PARTIAL / FULL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出货数量不得超过库存和 PI 剩余量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Trace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交货 → 完成订单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全部出货后交货；PO 付款完成后闭环</w:t>
            </w:r>
          </w:p>
        </w:tc>
      </w:tr>
    </w:tbl>
    <w:p>
      <w:pPr>
        <w:spacing w:after="0"/>
      </w:pPr>
    </w:p>
    <w:p>
      <w:pPr>
        <w:pStyle w:val="Heading1"/>
      </w:pPr>
      <w:r>
        <w:t>9. API 与异常规范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本地 API 基址为 http://localhost:8080/api。除登录、注册、验证码和健康检查外，请求通常需要 Bearer Token。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597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前缀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认证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/auth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客户/产品/BOM/汇率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/basedata/*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报价/PI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/sales/*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OEM/PO/出货指示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/order/*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出货单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/shipment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/finance/*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报表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/report/*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消息/通知/资料共享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/message、/notification、/fileshare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系统管理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/system/*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HTTP 状态</w:t>
            </w:r>
          </w:p>
        </w:tc>
        <w:tc>
          <w:tcPr>
            <w:tcW w:type="dxa" w:w="3671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10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客户端处理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400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参数或业务规则不满足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显示后端明确业务提示，不包装成“系统繁忙”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401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未登录或登录态过期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清理 Token 并跳转登录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403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权限码或数据范围不足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提示无权限；不要自动重试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413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上传超过限制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提示单文件上限和当前文件大小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500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未预期异常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展示通用提示并记录 trace/时间用于排查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4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用户可理解性  </w:t>
            </w:r>
            <w:r>
              <w:rPr>
                <w:rFonts w:ascii="Arial" w:hAnsi="Arial" w:eastAsia="Microsoft YaHei"/>
                <w:color w:val="263548"/>
                <w:sz w:val="19"/>
              </w:rPr>
              <w:t>前端错误拦截器应优先显示后端 message；仅在没有业务提示时显示通用错误。</w:t>
            </w:r>
          </w:p>
        </w:tc>
      </w:tr>
    </w:tbl>
    <w:p>
      <w:pPr>
        <w:spacing w:after="0"/>
      </w:pPr>
    </w:p>
    <w:p>
      <w:pPr>
        <w:pStyle w:val="Heading1"/>
      </w:pPr>
      <w:r>
        <w:t>10. 文件、模板与定时任务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能力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实现要求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上传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前后端共同校验大小和后缀；OEM 单文件 50MB；Nginx client_max_body_size 与后端一致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下载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normalize 后确认目标仍位于上传根目录；返回 nosniff 和安全文件名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Excel 模板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以仓库内正式模板为准；插入明细行时复制样式、合并、行高和公式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SI 多产品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从模板第 10 行向下插入，逐条填充产品型号、工厂型号、数量、箱数等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文件共享清理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按 expiresAt 定时删除数据库记录与实际文件，最大有效期 180 天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PI 草稿清理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定时删除超过 2 小时未确认草稿；任务需幂等并记录结果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汇率拉取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每日从中国银行外汇牌价获取中行折算价，失败保留上一有效数据并告警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经营周报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仅发送财务和管理员；标题为“经营周报”；统计统一 CNY</w:t>
            </w:r>
          </w:p>
        </w:tc>
      </w:tr>
    </w:tbl>
    <w:p>
      <w:pPr>
        <w:spacing w:after="0"/>
      </w:pPr>
    </w:p>
    <w:p>
      <w:pPr>
        <w:pStyle w:val="Heading1"/>
      </w:pPr>
      <w:r>
        <w:t>11. 前端工程规范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页面遵循现有 Element Plus 表格、弹窗、筛选区和操作列模式，表头和文本默认左对齐。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图标统一使用现有图标库：导入、导出、模板下载在所有基础资料模块保持相同语义。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动态表单使用稳定 key，数量/金额输入显式处理 0、null 和字符串数字，避免不显示或不可编辑。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操作列采用 flex 布局，隐藏状态按钮时不保留占位；剩余操作自动补位并保持单行。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长文本使用省略与 tooltip；字段标签禁止把完整中文词拆成两行。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所有请求状态具备 loading、防重复提交、成功/失败反馈和关闭弹窗后的重置。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检查</w:t>
            </w:r>
          </w:p>
        </w:tc>
        <w:tc>
          <w:tcPr>
            <w:tcW w:type="dxa" w:w="691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命令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类型检查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cd erp-frontend &amp;&amp; npm run type-check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生产构建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cd erp-frontend &amp;&amp; npm run build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后端测试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cd erp-backend &amp;&amp; mvn test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后端编译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cd erp-backend &amp;&amp; mvn -DskipTests compile</w:t>
            </w:r>
          </w:p>
        </w:tc>
      </w:tr>
    </w:tbl>
    <w:p>
      <w:pPr>
        <w:spacing w:after="0"/>
      </w:pPr>
    </w:p>
    <w:p>
      <w:pPr>
        <w:pStyle w:val="Heading1"/>
      </w:pPr>
      <w:r>
        <w:t>12. 测试与验收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015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测试层</w:t>
            </w:r>
          </w:p>
        </w:tc>
        <w:tc>
          <w:tcPr>
            <w:tcW w:type="dxa" w:w="7343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重点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单元/服务测试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状态机、金额、汇率、逻辑删除、唯一键、角色策略、文件路径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接口测试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401/403/413/业务异常、分页、导入导出、上传下载、幂等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权限矩阵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salesman/manager/finance/admin/readonly 对每个模块的读写和数据范围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业务链回归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客户 → 报价 → PI → 定金 → PO → SI 多明细 → 全款 → 出货 → 付款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浏览器验收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1440×900 与常用笔记本宽度；文本不换行错位、弹窗无水平溢出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数据核对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原币结清、CNY 报表、库存入出、单据追踪、通知接收人</w:t>
            </w:r>
          </w:p>
        </w:tc>
      </w:tr>
    </w:tbl>
    <w:p>
      <w:pPr>
        <w:spacing w:after="0"/>
      </w:pPr>
    </w:p>
    <w:p>
      <w:pPr>
        <w:pStyle w:val="Heading2"/>
      </w:pPr>
      <w:r>
        <w:t>最小账号矩阵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账号类型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必须验证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 A/B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A 不能查看或引用 B 的客户、PI、OEM、SI、附件和出货单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销售主管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可看全部销售数据、分配/转移客户、审核报价、按担当查询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可收定金/全款、付 PO、看财务通知；不能审核销售报价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只读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仅查看分配入口，写接口均返回 403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管理员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用户/角色/邀请码/审计和全部业务；不能创建第二个超级管理员</w:t>
            </w:r>
          </w:p>
        </w:tc>
      </w:tr>
    </w:tbl>
    <w:p>
      <w:pPr>
        <w:spacing w:after="0"/>
      </w:pPr>
    </w:p>
    <w:p>
      <w:pPr>
        <w:pStyle w:val="Heading1"/>
      </w:pPr>
      <w:r>
        <w:t>13. Docker / ECS 部署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确认 main 分支目标提交，记录 commit SHA 并完成本地构建。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备份服务器 MySQL、上传目录和当前 .env/Compose 配置。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在 ECS 拉取代码或上传构建产物，检查环境变量未被覆盖。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执行 docker compose up -d --build，观察 backend、frontend、mysql、redis 状态。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检查 /api/actuator/health、登录、菜单、数据库连接与附件卷。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执行关键账号与业务链冒烟，最后清理无引用旧镜像和构建缓存。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组件</w:t>
            </w:r>
          </w:p>
        </w:tc>
        <w:tc>
          <w:tcPr>
            <w:tcW w:type="dxa" w:w="763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生产检查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Nginx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HTTPS、域名、/api 代理、SPA fallback、上传大小、超时和安全响应头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Backend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prod profile、JWT secret、CORS、邮件、数据库/Redis、上传根目录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MySQL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仅内网、字符集 utf8mb4、时区、备份、磁盘余量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Redis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认证、仅内网、持久化策略、重启后登录态预期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Volumes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数据库与附件持久化；容器重建不丢数据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Domain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DNS A 记录、备案、证书自动续期和 HTTP→HTTPS</w:t>
            </w:r>
          </w:p>
        </w:tc>
      </w:tr>
    </w:tbl>
    <w:p>
      <w:pPr>
        <w:spacing w:after="0"/>
      </w:pPr>
    </w:p>
    <w:p>
      <w:pPr>
        <w:pStyle w:val="Heading1"/>
      </w:pPr>
      <w:r>
        <w:t>14. 备份恢复与监控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15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73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频率建议</w:t>
            </w:r>
          </w:p>
        </w:tc>
        <w:tc>
          <w:tcPr>
            <w:tcW w:type="dxa" w:w="460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恢复验证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MySQL 全量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每日；重大变更前额外一次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每月至少一次恢复到隔离库并抽查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上传文件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每日增量/定期全量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与数据库元数据同一时间点恢复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配置与证书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每次变更后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确认权限与到期时间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应用日志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按天轮转，保留 14~30 天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可按时间、用户、请求定位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镜像/构建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保留当前和上一稳定版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可在维护窗口内快速回滚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监控健康检查、容器重启次数、CPU、内存、磁盘、数据库连接池和 5xx/413 比例。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磁盘清理只删除无引用镜像、构建缓存、过期日志和确认可删除的备份；不得直接清理数据库卷。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邮件发送失败、汇率拉取失败、定时清理异常应形成日志和管理员告警。</w:t>
      </w:r>
    </w:p>
    <w:p>
      <w:pPr>
        <w:pStyle w:val="Heading1"/>
      </w:pPr>
      <w:r>
        <w:t>15. 发布与 Git 工作流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从最新 main/trial-v2.0 拉取并确认工作区无未解释修改。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按模块实现，更新数据库迁移、测试、文档和截图。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运行后端测试/编译、前端类型检查/构建和关键回归。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提交信息描述业务结果与风险，不提交 secrets、生产数据和临时文件。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先推送开发/试验分支，验收后安全合并 main。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部署 main 指定 commit，公告应说明影响、修复内容和用户注意事项。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7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可追溯性  </w:t>
            </w:r>
            <w:r>
              <w:rPr>
                <w:rFonts w:ascii="Arial" w:hAnsi="Arial" w:eastAsia="Microsoft YaHei"/>
                <w:color w:val="263548"/>
                <w:sz w:val="19"/>
              </w:rPr>
              <w:t>部署必须可追溯到明确 commit；服务器上不要长期保留未提交的手工补丁。</w:t>
            </w:r>
          </w:p>
        </w:tc>
      </w:tr>
    </w:tbl>
    <w:p>
      <w:pPr>
        <w:spacing w:after="0"/>
      </w:pPr>
    </w:p>
    <w:p>
      <w:pPr>
        <w:pStyle w:val="Heading1"/>
      </w:pPr>
      <w:r>
        <w:t>16. 故障排查与安全清单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现象</w:t>
            </w:r>
          </w:p>
        </w:tc>
        <w:tc>
          <w:tcPr>
            <w:tcW w:type="dxa" w:w="727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6"/>
              </w:rPr>
              <w:t>排查顺序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登录失败/系统繁忙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健康检查 → backend 日志 → MySQL/Redis → CORS/代理 → 用户状态/角色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客户删除失败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审计错误 → 关联外键/逻辑删除唯一键 → 数据范围 → 事务回滚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导入失败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模板版本 → content-type/大小 → 表头 → 必填/重复 → 业务权限 → 错误行提示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附件 413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前端 50MB 校验 → Nginx client_max_body_size → Spring multipart 限制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403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权限码 → 用户角色 → Token 是否刷新 → ownerId/PI ownerId/createBy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报表金额异常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原币 → 汇率日期 → CNY 转换 → 筛选/数据范围 → 重复或漏记流水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服务器非最新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6"/>
              </w:rPr>
              <w:t>git SHA → 镜像构建时间 → Compose 服务镜像 → 浏览器缓存</w:t>
            </w:r>
          </w:p>
        </w:tc>
      </w:tr>
    </w:tbl>
    <w:p>
      <w:pPr>
        <w:spacing w:after="0"/>
      </w:pPr>
    </w:p>
    <w:p>
      <w:pPr>
        <w:pStyle w:val="Heading2"/>
      </w:pPr>
      <w:r>
        <w:t>上线安全清单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生产 profile；关闭验证码回传、SQL stdout、公开 API 文档和宽松 CORS。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JWT、数据库、Redis、SMTP 授权码全部随机化并保存在服务器密钥文件/环境变量。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admin 使用独立强密码和专用邮箱；日常管理优先使用可删除管理员账号。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文件下载路径归一化、nosniff、危险后缀拦截和上传体积限制均已启用。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通知 HTML 使用白名单清洗或纯文本；审计参数递归脱敏。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备份可恢复、HTTPS 有效、MySQL/Redis 不暴露公网、磁盘余量充足。</w:t>
      </w:r>
    </w:p>
    <w:p>
      <w:r>
        <w:br w:type="page"/>
      </w:r>
    </w:p>
    <w:p>
      <w:pPr>
        <w:pStyle w:val="Heading1"/>
      </w:pPr>
      <w:r>
        <w:t>附录 A：相关仓库文档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597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README.md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项目入口与快速启动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docs/architecture.md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架构说明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docs/user-guide.md / modules.md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用户流程与截图索引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docs/development.md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开发规范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docs/deployment.md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部署与备份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docs/security-rbac.md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角色、权限与数据范围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docs/api.md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API 基础规范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docs/troubleshooting.md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常见故障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SECURITY.md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漏洞报告与安全要求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5DEE8"/>
      </w:pBdr>
    </w:pPr>
    <w:r>
      <w:rPr>
        <w:rFonts w:ascii="Arial" w:hAnsi="Arial" w:eastAsia="Microsoft YaHei"/>
        <w:b/>
        <w:color w:val="667085"/>
        <w:sz w:val="17"/>
      </w:rPr>
      <w:t>XeFlow  |  开发与部署手册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color w:val="263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69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