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680"/>
        <w:jc w:val="center"/>
      </w:pPr>
      <w:r>
        <w:drawing>
          <wp:inline xmlns:a="http://schemas.openxmlformats.org/drawingml/2006/main" xmlns:pic="http://schemas.openxmlformats.org/drawingml/2006/picture">
            <wp:extent cx="2057400" cy="1028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eflow-erp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 w:eastAsia="Microsoft YaHei"/>
          <w:b/>
          <w:color w:val="13A4D9"/>
          <w:sz w:val="18"/>
        </w:rPr>
        <w:t>XeFlow DOCUMENTATION</w:t>
      </w:r>
    </w:p>
    <w:p>
      <w:pPr>
        <w:spacing w:after="240"/>
        <w:jc w:val="center"/>
      </w:pPr>
      <w:r>
        <w:rPr>
          <w:rFonts w:ascii="Arial" w:hAnsi="Arial" w:eastAsia="Microsoft YaHei"/>
          <w:b/>
          <w:color w:val="0B2545"/>
          <w:sz w:val="54"/>
        </w:rPr>
        <w:t>XeFlow 快速入门指南</w:t>
      </w:r>
    </w:p>
    <w:p>
      <w:pPr>
        <w:spacing w:after="720"/>
        <w:jc w:val="center"/>
      </w:pPr>
      <w:r>
        <w:rPr>
          <w:rFonts w:ascii="Arial" w:hAnsi="Arial" w:eastAsia="Microsoft YaHei"/>
          <w:color w:val="667085"/>
          <w:sz w:val="25"/>
        </w:rPr>
        <w:t>15 分钟了解登录、角色、核心业务和常见操作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适用对象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所有新用户、培训人员、临时管理员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系统版本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Open-source / main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文档编号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ERP-QSG-2026-01</w:t>
            </w:r>
          </w:p>
        </w:tc>
      </w:tr>
      <w:tr>
        <w:tc>
          <w:tcPr>
            <w:tcW w:type="dxa" w:w="2232"/>
            <w:shd w:fill="EAF4FB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>发布日期</w:t>
            </w:r>
          </w:p>
        </w:tc>
        <w:tc>
          <w:tcPr>
            <w:tcW w:type="dxa" w:w="5544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9"/>
              </w:rPr>
              <w:t>2026-07-27</w:t>
            </w:r>
          </w:p>
        </w:tc>
      </w:tr>
    </w:tbl>
    <w:p>
      <w:pPr>
        <w:spacing w:before="600" w:after="0"/>
        <w:jc w:val="center"/>
      </w:pPr>
      <w:r>
        <w:rPr>
          <w:rFonts w:ascii="Arial" w:hAnsi="Arial" w:eastAsia="Microsoft YaHei"/>
          <w:color w:val="667085"/>
          <w:sz w:val="17"/>
        </w:rPr>
        <w:t>开源版  |  操作以实际部署版本和账号权限为准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4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本册用途  </w:t>
            </w:r>
            <w:r>
              <w:rPr>
                <w:rFonts w:ascii="Arial" w:hAnsi="Arial" w:eastAsia="Microsoft YaHei"/>
                <w:color w:val="263548"/>
                <w:sz w:val="19"/>
              </w:rPr>
              <w:t>帮助新用户在最短时间内完成登录、认识页面、理解自己的权限，并走通一条典型业务流程。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27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系统名称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XeFlow 外贸 ERP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系统版本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Open-source / main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源码基线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Initial public release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文档版本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V1.0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适用环境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本地开发环境、阿里云 ECS 试运营/生产环境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维护原则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界面、权限、业务状态或接口发生变化时同步更新文档与截图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截图说明  </w:t>
            </w:r>
            <w:r>
              <w:rPr>
                <w:rFonts w:ascii="Arial" w:hAnsi="Arial" w:eastAsia="Microsoft YaHei"/>
                <w:color w:val="263548"/>
                <w:sz w:val="19"/>
              </w:rPr>
              <w:t>截图用于说明页面位置和操作路径。不同角色看到的菜单、按钮和数据范围可能不同；若页面与截图略有差异，请以当前已部署版本和管理员分配的权限为准。</w:t>
            </w:r>
          </w:p>
        </w:tc>
      </w:tr>
    </w:tbl>
    <w:p>
      <w:pPr>
        <w:spacing w:after="0"/>
      </w:pPr>
    </w:p>
    <w:p>
      <w:pPr>
        <w:pStyle w:val="Heading1"/>
      </w:pPr>
      <w:r>
        <w:t>目录与阅读建议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登录前准备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认识页面与消息提醒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角色与数据范围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核心业务流程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按角色的第一天清单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十个最常用操作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rial" w:hAnsi="Arial" w:eastAsia="Microsoft YaHei"/>
          <w:color w:val="263548"/>
          <w:sz w:val="21"/>
        </w:rPr>
        <w:t>常见问题与求助方式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7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阅读方式  </w:t>
            </w:r>
            <w:r>
              <w:rPr>
                <w:rFonts w:ascii="Arial" w:hAnsi="Arial" w:eastAsia="Microsoft YaHei"/>
                <w:color w:val="263548"/>
                <w:sz w:val="19"/>
              </w:rPr>
              <w:t>首次使用建议按顺序阅读；已有经验的用户可直接跳到“按角色操作清单”或具体模块。Word 中可使用“导航窗格”按标题快速定位。</w:t>
            </w:r>
          </w:p>
        </w:tc>
      </w:tr>
    </w:tbl>
    <w:p>
      <w:pPr>
        <w:spacing w:after="0"/>
      </w:pPr>
    </w:p>
    <w:p>
      <w:pPr>
        <w:pStyle w:val="Heading1"/>
      </w:pPr>
      <w:r>
        <w:t>1. 登录前准备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推荐使用最新版 Microsoft Edge 或 Google Chrome，分辨率不低于 1366×768。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账号由管理员创建，或使用管理员提供的邀请码注册；新注册账号通常先获得只读权限。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首次登录后立即修改初始密码。密码不得与用户名、邮箱或常见弱密码相同。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服务器入口以公司通知的 HTTPS 地址为准；本地开发入口通常为 http://localhost:5173。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1  登录页：支持密码登录和邮箱验证码登录</w:t>
      </w:r>
    </w:p>
    <w:p>
      <w:pPr>
        <w:pStyle w:val="Heading2"/>
      </w:pPr>
      <w:r>
        <w:t>登录步骤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打开系统地址，选择“密码登录”或“邮箱验证码登录”。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输入账号与密码；若使用邮箱验证码，先获取验证码并在有效期内提交。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登录成功后确认右上角显示自己的昵称与头像首字母。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rial" w:hAnsi="Arial" w:eastAsia="Microsoft YaHei"/>
          <w:color w:val="263548"/>
          <w:sz w:val="21"/>
        </w:rPr>
        <w:t>若提示 401/403/系统繁忙，先记录发生时间与操作，再参照本册故障排查。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安全提醒  </w:t>
            </w:r>
            <w:r>
              <w:rPr>
                <w:rFonts w:ascii="Arial" w:hAnsi="Arial" w:eastAsia="Microsoft YaHei"/>
                <w:color w:val="263548"/>
                <w:sz w:val="19"/>
              </w:rPr>
              <w:t>不要在群聊、工单或截图中发送密码、验证码、邀请码、Token 或 SMTP 授权码。</w:t>
            </w:r>
          </w:p>
        </w:tc>
      </w:tr>
    </w:tbl>
    <w:p>
      <w:pPr>
        <w:spacing w:after="0"/>
      </w:pPr>
    </w:p>
    <w:p>
      <w:pPr>
        <w:pStyle w:val="Heading1"/>
      </w:pPr>
      <w:r>
        <w:t>2. 认识页面与消息提醒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2  首页：计划日历、待办事项和业务概览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396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3600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使用建议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左侧菜单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按业务域进入基础资料、销售、订单、财务、报表和系统管理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只显示当前账号拥有的入口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顶部信封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内部沟通未读提醒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红点表示存在未读会话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顶部铃铛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系统通知、报价审核、财务提醒、公告和经营周报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每日登录后优先处理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首页日历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按日添加开始/结束时间明确的日程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当天计划及时维护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待办事项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个人短任务和完成状态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不替代正式业务单据</w:t>
            </w:r>
          </w:p>
        </w:tc>
      </w:tr>
    </w:tbl>
    <w:p>
      <w:pPr>
        <w:spacing w:after="0"/>
      </w:pP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t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3  通知页：系统、报告、审核等通知统一处理</w:t>
      </w:r>
    </w:p>
    <w:p>
      <w:pPr>
        <w:pStyle w:val="Heading1"/>
      </w:pPr>
      <w:r>
        <w:t>3. 角色与数据范围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86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sco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4  六类角色及其主要职责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79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525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主要能力</w:t>
            </w:r>
          </w:p>
        </w:tc>
        <w:tc>
          <w:tcPr>
            <w:tcW w:type="dxa" w:w="172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默认数据范围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超级管理员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#0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系统全部功能；唯一 admin 账号不可删除、停用或变更角色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全系统</w:t>
            </w:r>
          </w:p>
        </w:tc>
      </w:tr>
      <w:tr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管理员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#1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用户、角色、权限、邀请码、审计及全部业务管理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全系统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财务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#2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应收、应付、收付款、财务报表；可按担当查询 PI 和单据追踪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全财务数据</w:t>
            </w:r>
          </w:p>
        </w:tc>
      </w:tr>
      <w:tr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销售主管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#3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全部销售客户、报价审核、PI/业绩、客户分配与转公共池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全部销售数据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业务员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#4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维护本人客户、报价、PI、OEM、PO、出货指示和出货单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本人业务数据</w:t>
            </w:r>
          </w:p>
        </w:tc>
      </w:tr>
      <w:tr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只读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#5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只查看管理员明确分配的菜单</w:t>
            </w:r>
          </w:p>
        </w:tc>
        <w:tc>
          <w:tcPr>
            <w:tcW w:type="dxa" w:w="2448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按授权范围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4FB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角色规则  </w:t>
            </w:r>
            <w:r>
              <w:rPr>
                <w:rFonts w:ascii="Arial" w:hAnsi="Arial" w:eastAsia="Microsoft YaHei"/>
                <w:color w:val="263548"/>
                <w:sz w:val="19"/>
              </w:rPr>
              <w:t>一个普通用户最多可同时拥有 3 个角色，权限取并集；只读角色不能与其他角色共存。超级管理员只有一个，用户管理中不能把其他账号设为超级管理员。</w:t>
            </w:r>
          </w:p>
        </w:tc>
      </w:tr>
    </w:tbl>
    <w:p>
      <w:pPr>
        <w:spacing w:after="0"/>
      </w:pPr>
    </w:p>
    <w:p>
      <w:pPr>
        <w:pStyle w:val="Heading1"/>
      </w:pPr>
      <w:r>
        <w:t>4. 核心业务流程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34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Microsoft YaHei"/>
          <w:i/>
          <w:color w:val="667085"/>
          <w:sz w:val="17"/>
        </w:rPr>
        <w:t>图 5  客户、报价、PI、采购、出货和财务的完整闭环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业务员建立个人客户；销售主管可管理公共客户池并分配担当。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业务员创建销售报价，销售主管收到待审核通知并处理。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通过审核后创建 PI。PI 草稿须在 2 小时内确认，否则会自动清理。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PI 确认后进入财务应收；定金为 0 或实际收定金后，PI 进入“已下单”。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按需创建并确认 PO；确认后的 PO 进入财务应付，可部分或全部到货入库。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已下单 PI 可建立出货指示，一张出货指示可维护多条产品明细。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客户结清全款且库存满足时生成全部出货；库存不足时可分批生成出货单。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rial" w:hAnsi="Arial" w:eastAsia="Microsoft YaHei"/>
          <w:color w:val="263548"/>
          <w:sz w:val="21"/>
        </w:rPr>
        <w:t>全部出货后 PI 完成出货；交货且 PO 账款支付完毕后订单闭环完成。</w:t>
      </w:r>
    </w:p>
    <w:p>
      <w:pPr>
        <w:pStyle w:val="Heading1"/>
      </w:pPr>
      <w:r>
        <w:t>5. 按角色的第一天清单</w:t>
      </w:r>
    </w:p>
    <w:p>
      <w:pPr>
        <w:pStyle w:val="Heading2"/>
      </w:pPr>
      <w:r>
        <w:t>业务员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确认客户资料仅显示本人个人客户池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建立一个测试客户和报价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创建 PI 草稿并熟悉倒计时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查看通知与单据追踪</w:t>
      </w:r>
    </w:p>
    <w:p>
      <w:pPr>
        <w:pStyle w:val="Heading2"/>
      </w:pPr>
      <w:r>
        <w:t>销售主管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检查全部客户池与担当筛选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处理一条销售报价审核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测试客户分配/转公共池并填写理由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查看业务员业绩来源</w:t>
      </w:r>
    </w:p>
    <w:p>
      <w:pPr>
        <w:pStyle w:val="Heading2"/>
      </w:pPr>
      <w:r>
        <w:t>财务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检查应收、应付和收付款入口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处理定金/全款与 PO 付款通知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核对 CNY/USD 合计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查看经营周报和财务报表</w:t>
      </w:r>
    </w:p>
    <w:p>
      <w:pPr>
        <w:pStyle w:val="Heading2"/>
      </w:pPr>
      <w:r>
        <w:t>管理员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核对用户状态和角色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生成邀请码并设置有效期/次数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检查权限菜单和审计日志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确认备份与系统重置权限</w:t>
      </w:r>
    </w:p>
    <w:p>
      <w:pPr>
        <w:pStyle w:val="Heading1"/>
      </w:pPr>
      <w:r>
        <w:t>6. 十个最常用操作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87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操作</w:t>
            </w:r>
          </w:p>
        </w:tc>
        <w:tc>
          <w:tcPr>
            <w:tcW w:type="dxa" w:w="7488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8"/>
              </w:rPr>
              <w:t>正确做法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查询数据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在页面顶部使用关键词、日期、状态或担当条件，点击“查询”；点击“重置”清空条件。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新建记录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点击“新建”，填写带红色星号的必填项，确认明细后保存。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编辑记录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从操作列进入编辑；已确认、已完成或已入库单据可能受状态保护。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删除记录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删除前检查是否已有下游单据。系统会阻止破坏业务链的删除。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导入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先下载当前模块模板，保持表头不变；失败时按行号和字段提示修正后重试。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导出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当前筛选条件通常会影响导出范围；下载后核对记录数和币种。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上传附件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OEM 单个附件上限 50MB；超限会显示明确提示。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处理通知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点击铃铛进入通知页；审核、财务和公告通知处理后标记已读。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查看数据来源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报表或业绩页可进入明细，核对对应 PI、PO、流水或负责人。</w:t>
            </w:r>
          </w:p>
        </w:tc>
      </w:tr>
      <w:tr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反馈问题</w:t>
            </w:r>
          </w:p>
        </w:tc>
        <w:tc>
          <w:tcPr>
            <w:tcW w:type="dxa" w:w="4896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8"/>
              </w:rPr>
              <w:t>记录账号、时间、页面、操作步骤、单据号和错误提示，交给管理员查审计日志。</w:t>
            </w:r>
          </w:p>
        </w:tc>
      </w:tr>
    </w:tbl>
    <w:p>
      <w:pPr>
        <w:spacing w:after="0"/>
      </w:pPr>
    </w:p>
    <w:p>
      <w:pPr>
        <w:pStyle w:val="Heading1"/>
      </w:pPr>
      <w:r>
        <w:t>7. 常见问题与求助方式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现象</w:t>
            </w:r>
          </w:p>
        </w:tc>
        <w:tc>
          <w:tcPr>
            <w:tcW w:type="dxa" w:w="3311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优先检查</w:t>
            </w:r>
          </w:p>
        </w:tc>
        <w:tc>
          <w:tcPr>
            <w:tcW w:type="dxa" w:w="3816"/>
            <w:shd w:fill="EAF4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0B2545"/>
                <w:sz w:val="17"/>
              </w:rPr>
              <w:t>处理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无法访问站点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前后端服务、域名、网络、端口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本地重启服务；线上联系管理员检查容器/Nginx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登录一直转圈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后端健康、数据库、浏览器网络请求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刷新后重试；不要连续点击登录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403 没有权限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角色、按钮权限、数据归属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管理员核对用户角色；业务员不能访问他人数据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系统繁忙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审计日志和后端日志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保留时间、单据号和操作步骤后交管理员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导入失败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文件格式、必填列、重复编码、模板版本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重新下载模板并按错误行修正</w:t>
            </w:r>
          </w:p>
        </w:tc>
      </w:tr>
      <w:tr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附件上传失败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文件是否超过 50MB、后缀是否受限</w:t>
            </w:r>
          </w:p>
        </w:tc>
        <w:tc>
          <w:tcPr>
            <w:tcW w:type="dxa" w:w="3264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Microsoft YaHei"/>
                <w:color w:val="263548"/>
                <w:sz w:val="17"/>
              </w:rPr>
              <w:t>压缩/拆分文件或使用允许的格式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9792"/>
      </w:tblGrid>
      <w:tr>
        <w:tc>
          <w:tcPr>
            <w:tcW w:type="dxa" w:w="9360"/>
            <w:shd w:fill="EAF7EE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rial" w:hAnsi="Arial" w:eastAsia="Microsoft YaHei"/>
                <w:b/>
                <w:color w:val="0B2545"/>
                <w:sz w:val="19"/>
              </w:rPr>
              <w:t xml:space="preserve">最小信息集  </w:t>
            </w:r>
            <w:r>
              <w:rPr>
                <w:rFonts w:ascii="Arial" w:hAnsi="Arial" w:eastAsia="Microsoft YaHei"/>
                <w:color w:val="263548"/>
                <w:sz w:val="19"/>
              </w:rPr>
              <w:t>问题反馈应包含：账号、发生时间、页面地址、单据号、操作步骤、完整错误提示和截图。</w:t>
            </w:r>
          </w:p>
        </w:tc>
      </w:tr>
    </w:tbl>
    <w:p>
      <w:pPr>
        <w:spacing w:after="0"/>
      </w:pPr>
    </w:p>
    <w:p>
      <w:pPr>
        <w:pStyle w:val="Heading1"/>
      </w:pPr>
      <w:r>
        <w:t>8. 培训完成标准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能够独立登录、退出并修改个人资料或密码。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能够解释自己账号的角色、可见菜单和数据范围。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能够完成本岗位至少一条测试业务，并在通知或单据追踪中找到对应结果。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能够区分原币结算与报表 CNY 换算，不用报表金额反推应收应付余额。</w:t>
      </w:r>
    </w:p>
    <w:p>
      <w:pPr>
        <w:pStyle w:val="ListBullet"/>
      </w:pPr>
      <w:r>
        <w:rPr>
          <w:rFonts w:ascii="Arial" w:hAnsi="Arial" w:eastAsia="Microsoft YaHei"/>
          <w:color w:val="263548"/>
          <w:sz w:val="21"/>
        </w:rPr>
        <w:t>发生错误时能提供完整问题信息，不重复点击或绕过系统状态保护。</w:t>
      </w:r>
    </w:p>
    <w:p>
      <w:pPr>
        <w:widowControl/>
      </w:pPr>
      <w:r>
        <w:rPr>
          <w:rFonts w:ascii="Arial" w:hAnsi="Arial" w:eastAsia="Microsoft YaHei"/>
          <w:color w:val="263548"/>
          <w:sz w:val="21"/>
        </w:rPr>
        <w:t>完成以上项目后，再进入《用户操作手册》阅读本岗位相关章节；管理员和技术人员还应阅读《开发与部署手册》中的安全、备份和故障排查部分。</w:t>
      </w:r>
    </w:p>
    <w:sectPr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color w:val="667085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5DEE8"/>
      </w:pBdr>
    </w:pPr>
    <w:r>
      <w:rPr>
        <w:rFonts w:ascii="Arial" w:hAnsi="Arial" w:eastAsia="Microsoft YaHei"/>
        <w:b/>
        <w:color w:val="667085"/>
        <w:sz w:val="17"/>
      </w:rPr>
      <w:t>XeFlow  |  快速入门指南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color w:val="2635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769A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