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 w:right="0" w:firstLine="0" w:left="-850"/>
        <w:jc w:val="center"/>
        <w:rPr/>
      </w:pPr>
      <w:r/>
      <w:r>
        <w:t xml:space="preserve">Rapport Final SAE 302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right="0" w:firstLine="0" w:left="-850"/>
        <w:jc w:val="center"/>
        <w:rPr>
          <w:highlight w:val="none"/>
        </w:rPr>
      </w:pPr>
      <w:r/>
      <w:r>
        <w:t xml:space="preserve">BOZENKO Wladimir RT21 (Cyber FA)</w:t>
      </w:r>
      <w:r/>
      <w:r/>
      <w:r/>
      <w:r>
        <w:rPr>
          <w:highlight w:val="none"/>
        </w:rPr>
      </w:r>
    </w:p>
    <w:p>
      <w:pPr>
        <w:pBdr/>
        <w:spacing/>
        <w:ind w:right="0" w:firstLine="0" w:left="-85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 w:right="0" w:firstLine="0" w:left="-709"/>
        <w:rPr/>
      </w:pPr>
      <w:r/>
      <w:r>
        <w:t xml:space="preserve">Fonctionnalité</w:t>
      </w:r>
      <w:r/>
      <w:r/>
    </w:p>
    <w:p>
      <w:pPr>
        <w:pBdr/>
        <w:spacing/>
        <w:ind w:right="0" w:firstLine="0" w:left="-709"/>
        <w:rPr>
          <w:highlight w:val="none"/>
        </w:rPr>
      </w:pPr>
      <w:r>
        <w:t xml:space="preserve">Au terme de cette SAE les fonctionnalités suivantes </w:t>
      </w:r>
      <w:r>
        <w:t xml:space="preserve">on été implémenter dans mon projet </w:t>
      </w:r>
      <w:r>
        <w:t xml:space="preserve"> : 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Base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Le projet implémente les fonctionnalités de base, soit la communication </w:t>
      </w:r>
      <w:r>
        <w:t xml:space="preserve">entre un ou plusieurs client (multi-clients) avec un serveur principales lui même communiquant avec des serveurs esclaves.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client envoie un fichier en .py .java ou .c au serveur, le serveur le distribue à un esclave qui se charge de le compiler si besoins puis de l’exécuter et transmet le contenu des sortie standard 1 et 2 (output et erreur) au serveurs principal qui lui à son tour les transmet au client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567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40213" cy="35013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208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40213" cy="3501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9.23pt;height:275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3186" cy="51851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127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43186" cy="518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35pt;height:408.2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Gestion d’erreurs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Les erreurs des zones à risque coté client sont intercepter</w:t>
      </w:r>
      <w:r>
        <w:t xml:space="preserve"> et remontée via un dialogue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Coté serveur si la compilation échoue, le serveur renvoie un message d’erreur dans la partie errors du retour en JSON contenant un message indiquant que la compilation à échoué</w:t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Load Balancing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Il n’y pas d’implémentations de load balancing à proprement parler dans ce projet, cependant une implémentations </w:t>
      </w:r>
      <w:r>
        <w:t xml:space="preserve">« de disponibilité » des serveurs esclaves à été mise en place.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Lorsque le serveurs principal reçoit une demande d’upload, il consulte</w:t>
      </w:r>
      <w:r>
        <w:rPr>
          <w:highlight w:val="none"/>
        </w:rPr>
        <w:t xml:space="preserve"> la liste des serveurs esclaves auxquelles </w:t>
      </w:r>
      <w:r>
        <w:rPr>
          <w:highlight w:val="none"/>
        </w:rPr>
        <w:t xml:space="preserve">il est connecté et transmet le flux de données au premier esclaves disponibles. Si aucun esclaves n’est disponible le serveur principale notifie le serveur client, qui lui affiche un message à l’utilisateur l’informant qu’aucun esclaves n’est disponible</w:t>
      </w:r>
      <w:r>
        <w:rPr>
          <w:highlight w:val="none"/>
        </w:rPr>
        <w:t xml:space="preserve"> pour le moment.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Serveur principal 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17240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520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57650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9.50pt;height:135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285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75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38549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6.50pt;height:101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  <w:t xml:space="preserve">Client : </w:t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3981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658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2437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6.25pt;height:313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Scalabilité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Le lancement des serveurs esclaves et la connexion à ces derniers est faite à partir du fichier </w:t>
      </w:r>
      <w:r>
        <w:t xml:space="preserve">config.json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5547" cy="33915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95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45546" cy="3391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3.43pt;height:267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Il est donc très simple d’ajouter un grand nombre de serveurs esclaves</w:t>
      </w:r>
      <w:r>
        <w:rPr>
          <w:highlight w:val="none"/>
        </w:rPr>
        <w:t xml:space="preserve"> en ajoutant des entrées dans ce fichier avant lancement des serveurs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Cybersécurité</w:t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Aucune solution n’a été mise en place afin de sécuriser l’application, cependant voici quelque piste à explorer afin de rendre l’application plus sur :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Mise en place </w:t>
      </w:r>
      <w:r>
        <w:rPr>
          <w:highlight w:val="none"/>
        </w:rPr>
        <w:t xml:space="preserve">d’u</w:t>
      </w:r>
      <w:r>
        <w:rPr>
          <w:highlight w:val="none"/>
        </w:rPr>
        <w:t xml:space="preserve">n système d’authentification lors de la connexion client/serveur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Contenairisation </w:t>
      </w:r>
      <w:r>
        <w:rPr>
          <w:highlight w:val="none"/>
        </w:rPr>
        <w:t xml:space="preserve">lors de l’exécution des codes envoyées par les clients</w:t>
      </w:r>
      <w:r>
        <w:rPr>
          <w:highlight w:val="none"/>
        </w:rPr>
        <w:t xml:space="preserve"> afin d’éviter d’exécuter du code malveillant </w:t>
      </w:r>
      <w:r>
        <w:rPr>
          <w:highlight w:val="none"/>
        </w:rPr>
        <w:t xml:space="preserve">(avec Docker par exemple)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Implémenter un système de reconnaissance de code malveillant à l’aide des base de données de malware/vulnérabilité existante + système de blacklist des clients ayant envoyée du code malveillants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/>
      <w:r/>
      <w:r/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/>
      <w:r/>
      <w:r/>
      <w:r/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2024-12-29T16:32:02Z</dcterms:modified>
</cp:coreProperties>
</file>