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Normal"/>
        <w:jc w:val="left"/>
        <w:spacing w:before="100" w:after="40"/>
      </w:pPr>
      <w:r>
        <w:rPr>
          <w:b/>
          <w:color w:val="0284c7"/>
          <w:sz w:val="24"/>
        </w:rPr>
        <w:t xml:space="preserve">CIM OUTAGE CENTRE</w:t>
      </w:r>
    </w:p>
    <w:p>
      <w:pPr>
        <w:pStyle w:val="Heading1"/>
        <w:jc w:val="left"/>
        <w:spacing w:before="40" w:after="100"/>
      </w:pPr>
      <w:r>
        <w:rPr>
          <w:b/>
          <w:color w:val="0f172a"/>
          <w:sz w:val="52"/>
        </w:rPr>
        <w:t xml:space="preserve">Production Deployment Prerequisites &amp; Technical Specifications</w:t>
      </w:r>
    </w:p>
    <w:p>
      <w:pPr>
        <w:pStyle w:val="Normal"/>
        <w:jc w:val="left"/>
        <w:spacing w:before="0" w:after="200"/>
      </w:pPr>
      <w:r>
        <w:rPr>
          <w:i/>
          <w:color w:val="475569"/>
          <w:sz w:val="24"/>
        </w:rPr>
        <w:t xml:space="preserve">Comprehensive guide covering hosting infrastructure, database sizing, enterprise APIs, AI models, environment configuration, and detailed cost estimates for deploying in any cloud, on-premises, or hybrid environment.</w:t>
      </w:r>
    </w:p>
    <w:tbl>
      <w:tblPr>
        <w:tblW w:w="9600" w:type="dxa"/>
        <w:tblBorders>
          <w:top w:val="single" w:sz="6" w:space="0" w:color="cbd5e1"/>
          <w:left w:val="none"/>
          <w:bottom w:val="single" w:sz="12" w:space="0" w:color="94a3b8"/>
          <w:right w:val="none"/>
          <w:insideH w:val="single" w:sz="4" w:space="0" w:color="e2e8f0"/>
          <w:insideV w:val="none"/>
        </w:tblBorders>
        <w:tblCellMar>
          <w:top w:w="100" w:type="dxa"/>
          <w:left w:w="140" w:type="dxa"/>
          <w:bottom w:w="100" w:type="dxa"/>
          <w:right w:w="140" w:type="dxa"/>
        </w:tblCellMar>
      </w:tblPr>
      <w:tr>
        <w:trPr>
          <w:tblHeader/>
        </w:trPr>
        <w:tc>
          <w:tcPr>
            <w:tcW w:w="1800" w:type="dxa"/>
            <w:shd w:val="clear" w:color="auto" w:fill="1e293b"/>
          </w:tcPr>
          <w:p>
            <w:pPr>
              <w:spacing w:before="120" w:after="120"/>
              <w:jc w:val="left"/>
            </w:pPr>
            <w:r>
              <w:rPr>
                <w:b/>
                <w:color w:val="ffffff"/>
                <w:sz w:val="20"/>
              </w:rPr>
              <w:t xml:space="preserve">Document Version</w:t>
            </w:r>
          </w:p>
        </w:tc>
        <w:tc>
          <w:tcPr>
            <w:tcW w:w="2400" w:type="dxa"/>
            <w:shd w:val="clear" w:color="auto" w:fill="1e293b"/>
          </w:tcPr>
          <w:p>
            <w:pPr>
              <w:spacing w:before="120" w:after="120"/>
              <w:jc w:val="left"/>
            </w:pPr>
            <w:r>
              <w:rPr>
                <w:b/>
                <w:color w:val="ffffff"/>
                <w:sz w:val="20"/>
              </w:rPr>
              <w:t xml:space="preserve">Target Release</w:t>
            </w:r>
          </w:p>
        </w:tc>
        <w:tc>
          <w:tcPr>
            <w:tcW w:w="2200" w:type="dxa"/>
            <w:shd w:val="clear" w:color="auto" w:fill="1e293b"/>
          </w:tcPr>
          <w:p>
            <w:pPr>
              <w:spacing w:before="120" w:after="120"/>
              <w:jc w:val="left"/>
            </w:pPr>
            <w:r>
              <w:rPr>
                <w:b/>
                <w:color w:val="ffffff"/>
                <w:sz w:val="20"/>
              </w:rPr>
              <w:t xml:space="preserve">Prepared For</w:t>
            </w:r>
          </w:p>
        </w:tc>
        <w:tc>
          <w:tcPr>
            <w:tcW w:w="1800" w:type="dxa"/>
            <w:shd w:val="clear" w:color="auto" w:fill="1e293b"/>
          </w:tcPr>
          <w:p>
            <w:pPr>
              <w:spacing w:before="120" w:after="120"/>
              <w:jc w:val="left"/>
            </w:pPr>
            <w:r>
              <w:rPr>
                <w:b/>
                <w:color w:val="ffffff"/>
                <w:sz w:val="20"/>
              </w:rPr>
              <w:t xml:space="preserve">Classification</w:t>
            </w:r>
          </w:p>
        </w:tc>
        <w:tc>
          <w:tcPr>
            <w:tcW w:w="1400" w:type="dxa"/>
            <w:shd w:val="clear" w:color="auto" w:fill="1e293b"/>
          </w:tcPr>
          <w:p>
            <w:pPr>
              <w:spacing w:before="120" w:after="120"/>
              <w:jc w:val="left"/>
            </w:pPr>
            <w:r>
              <w:rPr>
                <w:b/>
                <w:color w:val="ffffff"/>
                <w:sz w:val="20"/>
              </w:rPr>
              <w:t xml:space="preserve">Date</w:t>
            </w:r>
          </w:p>
        </w:tc>
      </w:tr>
      <w:tr>
        <w:tc>
          <w:tcPr>
            <w:tcW w:w="1800" w:type="dxa"/>
            <w:shd w:val="clear" w:color="auto" w:fill="ffffff"/>
          </w:tcPr>
          <w:p>
            <w:pPr>
              <w:spacing w:before="90" w:after="90"/>
              <w:jc w:val="left"/>
            </w:pPr>
            <w:r>
              <w:rPr>
                <w:sz w:val="20"/>
                <w:color w:val="334155"/>
              </w:rPr>
              <w:t xml:space="preserve">1.0.0</w:t>
            </w:r>
          </w:p>
        </w:tc>
        <w:tc>
          <w:tcPr>
            <w:tcW w:w="2400" w:type="dxa"/>
            <w:shd w:val="clear" w:color="auto" w:fill="ffffff"/>
          </w:tcPr>
          <w:p>
            <w:pPr>
              <w:spacing w:before="90" w:after="90"/>
              <w:jc w:val="left"/>
            </w:pPr>
            <w:r>
              <w:rPr>
                <w:sz w:val="20"/>
                <w:color w:val="334155"/>
              </w:rPr>
              <w:t xml:space="preserve">CIM Outage Centre Enterprise v1.4</w:t>
            </w:r>
          </w:p>
        </w:tc>
        <w:tc>
          <w:tcPr>
            <w:tcW w:w="2200" w:type="dxa"/>
            <w:shd w:val="clear" w:color="auto" w:fill="ffffff"/>
          </w:tcPr>
          <w:p>
            <w:pPr>
              <w:spacing w:before="90" w:after="90"/>
              <w:jc w:val="left"/>
            </w:pPr>
            <w:r>
              <w:rPr>
                <w:sz w:val="20"/>
                <w:color w:val="334155"/>
              </w:rPr>
              <w:t xml:space="preserve">Architecture &amp; Operations Teams</w:t>
            </w:r>
          </w:p>
        </w:tc>
        <w:tc>
          <w:tcPr>
            <w:tcW w:w="1800" w:type="dxa"/>
            <w:shd w:val="clear" w:color="auto" w:fill="ffffff"/>
          </w:tcPr>
          <w:p>
            <w:pPr>
              <w:spacing w:before="90" w:after="90"/>
              <w:jc w:val="left"/>
            </w:pPr>
            <w:r>
              <w:rPr>
                <w:sz w:val="20"/>
                <w:color w:val="334155"/>
              </w:rPr>
              <w:t xml:space="preserve">Enterprise Confidential</w:t>
            </w:r>
          </w:p>
        </w:tc>
        <w:tc>
          <w:tcPr>
            <w:tcW w:w="1400" w:type="dxa"/>
            <w:shd w:val="clear" w:color="auto" w:fill="ffffff"/>
          </w:tcPr>
          <w:p>
            <w:pPr>
              <w:spacing w:before="90" w:after="90"/>
              <w:jc w:val="left"/>
            </w:pPr>
            <w:r>
              <w:rPr>
                <w:sz w:val="20"/>
                <w:color w:val="334155"/>
              </w:rPr>
              <w:t xml:space="preserve">September 2026</w:t>
            </w:r>
          </w:p>
        </w:tc>
      </w:tr>
    </w:tbl>
    <w:p>
      <w:pPr>
        <w:pStyle w:val="Normal"/>
        <w:jc w:val="left"/>
        <w:spacing w:before="80" w:after="80"/>
      </w:pPr>
      <w:r>
        <w:t xml:space="preserve"/>
      </w:r>
    </w:p>
    <w:p>
      <w:pPr>
        <w:pStyle w:val="Heading1"/>
        <w:jc w:val="left"/>
        <w:spacing w:before="360" w:after="120"/>
      </w:pPr>
      <w:r>
        <w:rPr>
          <w:b/>
          <w:color w:val="0f172a"/>
          <w:sz w:val="36"/>
        </w:rPr>
        <w:t xml:space="preserve">1. Executive Overview &amp; System Purpose</w:t>
      </w:r>
    </w:p>
    <w:p>
      <w:pPr>
        <w:pStyle w:val="Normal"/>
        <w:jc w:val="left"/>
        <w:spacing w:before="100" w:after="100"/>
      </w:pPr>
      <w:r>
        <w:t xml:space="preserve">The Critical Incident Management (CIM) Outage Centre is an enterprise-grade incident coordination, live triage, and stakeholder communication platform. It bridges ServiceNow ITSM, Microsoft 365 / Teams, Neon PostgreSQL, and Google Gemini AI into a unified operational command center for Major Incident Managers (MIM), SREs, and Field Engineers.</w:t>
      </w:r>
    </w:p>
    <w:p>
      <w:pPr>
        <w:pStyle w:val="Normal"/>
        <w:jc w:val="left"/>
        <w:spacing w:before="100" w:after="100"/>
      </w:pPr>
      <w:r>
        <w:t xml:space="preserve">This document outlines all technical, infrastructure, licensing, security, and financial prerequisites required to successfully deploy and operate the CIM Outage Centre in any enterprise environment.</w:t>
      </w:r>
    </w:p>
    <w:tbl>
      <w:tblPr>
        <w:tblW w:w="9600" w:type="dxa"/>
        <w:tblBorders>
          <w:top w:val="none"/>
          <w:left w:val="single" w:sz="36" w:space="0" w:color="0284c7"/>
          <w:bottom w:val="none"/>
          <w:right w:val="none"/>
        </w:tblBorders>
        <w:tblCellMar>
          <w:top w:w="140" w:type="dxa"/>
          <w:left w:w="220" w:type="dxa"/>
          <w:bottom w:w="140" w:type="dxa"/>
          <w:right w:w="200" w:type="dxa"/>
        </w:tblCellMar>
      </w:tblPr>
      <w:tr>
        <w:tc>
          <w:tcPr>
            <w:tcW w:w="9600" w:type="dxa"/>
            <w:shd w:val="clear" w:color="auto" w:fill="f0f9ff"/>
          </w:tcPr>
          <w:p>
            <w:pPr>
              <w:spacing w:before="60" w:after="40"/>
            </w:pPr>
            <w:r>
              <w:rPr>
                <w:b/>
                <w:color w:val="0284c7"/>
                <w:sz w:val="22"/>
              </w:rPr>
              <w:t xml:space="preserve">ℹ️ Key Architectural Principles</w:t>
            </w:r>
          </w:p>
          <w:p>
            <w:pPr>
              <w:spacing w:before="40" w:after="60"/>
            </w:pPr>
            <w:r>
              <w:rPr>
                <w:color w:val="334155"/>
                <w:sz w:val="21"/>
              </w:rPr>
              <w:t xml:space="preserve">The application is stateless and container-ready. Core business state resides in PostgreSQL, while live incident sync, change correlation, and user authentication connect in real-time to external SaaS ecosystems (ServiceNow, Microsoft Entra ID, Google Gemini).</w:t>
            </w:r>
          </w:p>
        </w:tc>
      </w:tr>
    </w:tbl>
    <w:p>
      <w:pPr>
        <w:pStyle w:val="Normal"/>
        <w:jc w:val="left"/>
        <w:spacing w:before="60" w:after="60"/>
      </w:pPr>
      <w:r>
        <w:t xml:space="preserve"/>
      </w:r>
    </w:p>
    <w:p>
      <w:pPr>
        <w:pStyle w:val="Heading1"/>
        <w:jc w:val="left"/>
        <w:spacing w:before="360" w:after="120"/>
      </w:pPr>
      <w:r>
        <w:rPr>
          <w:b/>
          <w:color w:val="0f172a"/>
          <w:sz w:val="36"/>
        </w:rPr>
        <w:t xml:space="preserve">2. Hosting &amp; Compute Infrastructure Prerequisites</w:t>
      </w:r>
    </w:p>
    <w:p>
      <w:pPr>
        <w:pStyle w:val="Normal"/>
        <w:jc w:val="left"/>
        <w:spacing w:before="100" w:after="100"/>
      </w:pPr>
      <w:r>
        <w:t xml:space="preserve">The CIM Outage Centre is built using Next.js 14 (App Router) and Node.js. It supports multiple deployment topologies depending on corporate infrastructure standards:</w:t>
      </w:r>
    </w:p>
    <w:tbl>
      <w:tblPr>
        <w:tblW w:w="9600" w:type="dxa"/>
        <w:tblBorders>
          <w:top w:val="single" w:sz="6" w:space="0" w:color="cbd5e1"/>
          <w:left w:val="none"/>
          <w:bottom w:val="single" w:sz="12" w:space="0" w:color="94a3b8"/>
          <w:right w:val="none"/>
          <w:insideH w:val="single" w:sz="4" w:space="0" w:color="e2e8f0"/>
          <w:insideV w:val="none"/>
        </w:tblBorders>
        <w:tblCellMar>
          <w:top w:w="100" w:type="dxa"/>
          <w:left w:w="140" w:type="dxa"/>
          <w:bottom w:w="100" w:type="dxa"/>
          <w:right w:w="140" w:type="dxa"/>
        </w:tblCellMar>
      </w:tblPr>
      <w:tr>
        <w:trPr>
          <w:tblHeader/>
        </w:trPr>
        <w:tc>
          <w:tcPr>
            <w:tcW w:w="2200" w:type="dxa"/>
            <w:shd w:val="clear" w:color="auto" w:fill="1e293b"/>
          </w:tcPr>
          <w:p>
            <w:pPr>
              <w:spacing w:before="120" w:after="120"/>
              <w:jc w:val="left"/>
            </w:pPr>
            <w:r>
              <w:rPr>
                <w:b/>
                <w:color w:val="ffffff"/>
                <w:sz w:val="20"/>
              </w:rPr>
              <w:t xml:space="preserve">Deployment Model</w:t>
            </w:r>
          </w:p>
        </w:tc>
        <w:tc>
          <w:tcPr>
            <w:tcW w:w="2400" w:type="dxa"/>
            <w:shd w:val="clear" w:color="auto" w:fill="1e293b"/>
          </w:tcPr>
          <w:p>
            <w:pPr>
              <w:spacing w:before="120" w:after="120"/>
              <w:jc w:val="left"/>
            </w:pPr>
            <w:r>
              <w:rPr>
                <w:b/>
                <w:color w:val="ffffff"/>
                <w:sz w:val="20"/>
              </w:rPr>
              <w:t xml:space="preserve">Recommended Platform</w:t>
            </w:r>
          </w:p>
        </w:tc>
        <w:tc>
          <w:tcPr>
            <w:tcW w:w="2500" w:type="dxa"/>
            <w:shd w:val="clear" w:color="auto" w:fill="1e293b"/>
          </w:tcPr>
          <w:p>
            <w:pPr>
              <w:spacing w:before="120" w:after="120"/>
              <w:jc w:val="left"/>
            </w:pPr>
            <w:r>
              <w:rPr>
                <w:b/>
                <w:color w:val="ffffff"/>
                <w:sz w:val="20"/>
              </w:rPr>
              <w:t xml:space="preserve">Minimal Hardware / Specs</w:t>
            </w:r>
          </w:p>
        </w:tc>
        <w:tc>
          <w:tcPr>
            <w:tcW w:w="2500" w:type="dxa"/>
            <w:shd w:val="clear" w:color="auto" w:fill="1e293b"/>
          </w:tcPr>
          <w:p>
            <w:pPr>
              <w:spacing w:before="120" w:after="120"/>
              <w:jc w:val="left"/>
            </w:pPr>
            <w:r>
              <w:rPr>
                <w:b/>
                <w:color w:val="ffffff"/>
                <w:sz w:val="20"/>
              </w:rPr>
              <w:t xml:space="preserve">Production Hardware / Specs</w:t>
            </w:r>
          </w:p>
        </w:tc>
      </w:tr>
      <w:tr>
        <w:tc>
          <w:tcPr>
            <w:tcW w:w="2200" w:type="dxa"/>
            <w:shd w:val="clear" w:color="auto" w:fill="ffffff"/>
          </w:tcPr>
          <w:p>
            <w:pPr>
              <w:spacing w:before="90" w:after="90"/>
              <w:jc w:val="left"/>
            </w:pPr>
            <w:r>
              <w:rPr>
                <w:sz w:val="20"/>
                <w:color w:val="334155"/>
              </w:rPr>
              <w:t xml:space="preserve">Cloud Serverless / PaaS</w:t>
            </w:r>
          </w:p>
        </w:tc>
        <w:tc>
          <w:tcPr>
            <w:tcW w:w="2400" w:type="dxa"/>
            <w:shd w:val="clear" w:color="auto" w:fill="ffffff"/>
          </w:tcPr>
          <w:p>
            <w:pPr>
              <w:spacing w:before="90" w:after="90"/>
              <w:jc w:val="left"/>
            </w:pPr>
            <w:r>
              <w:rPr>
                <w:sz w:val="20"/>
                <w:color w:val="334155"/>
              </w:rPr>
              <w:t xml:space="preserve">Vercel / AWS Amplify / Cloudflare</w:t>
            </w:r>
          </w:p>
        </w:tc>
        <w:tc>
          <w:tcPr>
            <w:tcW w:w="2500" w:type="dxa"/>
            <w:shd w:val="clear" w:color="auto" w:fill="ffffff"/>
          </w:tcPr>
          <w:p>
            <w:pPr>
              <w:spacing w:before="90" w:after="90"/>
              <w:jc w:val="left"/>
            </w:pPr>
            <w:r>
              <w:rPr>
                <w:sz w:val="20"/>
                <w:color w:val="334155"/>
              </w:rPr>
              <w:t xml:space="preserve">Serverless Functions (1 GB RAM)</w:t>
            </w:r>
          </w:p>
        </w:tc>
        <w:tc>
          <w:tcPr>
            <w:tcW w:w="2500" w:type="dxa"/>
            <w:shd w:val="clear" w:color="auto" w:fill="ffffff"/>
          </w:tcPr>
          <w:p>
            <w:pPr>
              <w:spacing w:before="90" w:after="90"/>
              <w:jc w:val="left"/>
            </w:pPr>
            <w:r>
              <w:rPr>
                <w:sz w:val="20"/>
                <w:color w:val="334155"/>
              </w:rPr>
              <w:t xml:space="preserve">Vercel Pro (1024 MB Memory, 60s timeout)</w:t>
            </w:r>
          </w:p>
        </w:tc>
      </w:tr>
      <w:tr>
        <w:tc>
          <w:tcPr>
            <w:tcW w:w="2200" w:type="dxa"/>
            <w:shd w:val="clear" w:color="auto" w:fill="f8fafc"/>
          </w:tcPr>
          <w:p>
            <w:pPr>
              <w:spacing w:before="90" w:after="90"/>
              <w:jc w:val="left"/>
            </w:pPr>
            <w:r>
              <w:rPr>
                <w:sz w:val="20"/>
                <w:color w:val="334155"/>
              </w:rPr>
              <w:t xml:space="preserve">Container / Kubernetes</w:t>
            </w:r>
          </w:p>
        </w:tc>
        <w:tc>
          <w:tcPr>
            <w:tcW w:w="2400" w:type="dxa"/>
            <w:shd w:val="clear" w:color="auto" w:fill="f8fafc"/>
          </w:tcPr>
          <w:p>
            <w:pPr>
              <w:spacing w:before="90" w:after="90"/>
              <w:jc w:val="left"/>
            </w:pPr>
            <w:r>
              <w:rPr>
                <w:sz w:val="20"/>
                <w:color w:val="334155"/>
              </w:rPr>
              <w:t xml:space="preserve">Docker / AWS ECS / EKS / Azure AKS</w:t>
            </w:r>
          </w:p>
        </w:tc>
        <w:tc>
          <w:tcPr>
            <w:tcW w:w="2500" w:type="dxa"/>
            <w:shd w:val="clear" w:color="auto" w:fill="f8fafc"/>
          </w:tcPr>
          <w:p>
            <w:pPr>
              <w:spacing w:before="90" w:after="90"/>
              <w:jc w:val="left"/>
            </w:pPr>
            <w:r>
              <w:rPr>
                <w:sz w:val="20"/>
                <w:color w:val="334155"/>
              </w:rPr>
              <w:t xml:space="preserve">1 Container (1 vCPU, 2 GB RAM)</w:t>
            </w:r>
          </w:p>
        </w:tc>
        <w:tc>
          <w:tcPr>
            <w:tcW w:w="2500" w:type="dxa"/>
            <w:shd w:val="clear" w:color="auto" w:fill="f8fafc"/>
          </w:tcPr>
          <w:p>
            <w:pPr>
              <w:spacing w:before="90" w:after="90"/>
              <w:jc w:val="left"/>
            </w:pPr>
            <w:r>
              <w:rPr>
                <w:sz w:val="20"/>
                <w:color w:val="334155"/>
              </w:rPr>
              <w:t xml:space="preserve">2+ Containers (2 vCPU, 4 GB RAM each, HPA)</w:t>
            </w:r>
          </w:p>
        </w:tc>
      </w:tr>
      <w:tr>
        <w:tc>
          <w:tcPr>
            <w:tcW w:w="2200" w:type="dxa"/>
            <w:shd w:val="clear" w:color="auto" w:fill="ffffff"/>
          </w:tcPr>
          <w:p>
            <w:pPr>
              <w:spacing w:before="90" w:after="90"/>
              <w:jc w:val="left"/>
            </w:pPr>
            <w:r>
              <w:rPr>
                <w:sz w:val="20"/>
                <w:color w:val="334155"/>
              </w:rPr>
              <w:t xml:space="preserve">Virtual Machine (Linux)</w:t>
            </w:r>
          </w:p>
        </w:tc>
        <w:tc>
          <w:tcPr>
            <w:tcW w:w="2400" w:type="dxa"/>
            <w:shd w:val="clear" w:color="auto" w:fill="ffffff"/>
          </w:tcPr>
          <w:p>
            <w:pPr>
              <w:spacing w:before="90" w:after="90"/>
              <w:jc w:val="left"/>
            </w:pPr>
            <w:r>
              <w:rPr>
                <w:sz w:val="20"/>
                <w:color w:val="334155"/>
              </w:rPr>
              <w:t xml:space="preserve">Ubuntu 22.04 LTS / RHEL 8 or 9</w:t>
            </w:r>
          </w:p>
        </w:tc>
        <w:tc>
          <w:tcPr>
            <w:tcW w:w="2500" w:type="dxa"/>
            <w:shd w:val="clear" w:color="auto" w:fill="ffffff"/>
          </w:tcPr>
          <w:p>
            <w:pPr>
              <w:spacing w:before="90" w:after="90"/>
              <w:jc w:val="left"/>
            </w:pPr>
            <w:r>
              <w:rPr>
                <w:sz w:val="20"/>
                <w:color w:val="334155"/>
              </w:rPr>
              <w:t xml:space="preserve">2 vCPU, 4 GB RAM, 20 GB SSD</w:t>
            </w:r>
          </w:p>
        </w:tc>
        <w:tc>
          <w:tcPr>
            <w:tcW w:w="2500" w:type="dxa"/>
            <w:shd w:val="clear" w:color="auto" w:fill="ffffff"/>
          </w:tcPr>
          <w:p>
            <w:pPr>
              <w:spacing w:before="90" w:after="90"/>
              <w:jc w:val="left"/>
            </w:pPr>
            <w:r>
              <w:rPr>
                <w:sz w:val="20"/>
                <w:color w:val="334155"/>
              </w:rPr>
              <w:t xml:space="preserve">4 vCPU, 8 GB RAM, 50 GB NVMe SSD + PM2 + Nginx</w:t>
            </w:r>
          </w:p>
        </w:tc>
      </w:tr>
      <w:tr>
        <w:tc>
          <w:tcPr>
            <w:tcW w:w="2200" w:type="dxa"/>
            <w:shd w:val="clear" w:color="auto" w:fill="f8fafc"/>
          </w:tcPr>
          <w:p>
            <w:pPr>
              <w:spacing w:before="90" w:after="90"/>
              <w:jc w:val="left"/>
            </w:pPr>
            <w:r>
              <w:rPr>
                <w:sz w:val="20"/>
                <w:color w:val="334155"/>
              </w:rPr>
              <w:t xml:space="preserve">Hybrid On-Premises</w:t>
            </w:r>
          </w:p>
        </w:tc>
        <w:tc>
          <w:tcPr>
            <w:tcW w:w="2400" w:type="dxa"/>
            <w:shd w:val="clear" w:color="auto" w:fill="f8fafc"/>
          </w:tcPr>
          <w:p>
            <w:pPr>
              <w:spacing w:before="90" w:after="90"/>
              <w:jc w:val="left"/>
            </w:pPr>
            <w:r>
              <w:rPr>
                <w:sz w:val="20"/>
                <w:color w:val="334155"/>
              </w:rPr>
              <w:t xml:space="preserve">Enterprise VMware / OpenShift</w:t>
            </w:r>
          </w:p>
        </w:tc>
        <w:tc>
          <w:tcPr>
            <w:tcW w:w="2500" w:type="dxa"/>
            <w:shd w:val="clear" w:color="auto" w:fill="f8fafc"/>
          </w:tcPr>
          <w:p>
            <w:pPr>
              <w:spacing w:before="90" w:after="90"/>
              <w:jc w:val="left"/>
            </w:pPr>
            <w:r>
              <w:rPr>
                <w:sz w:val="20"/>
                <w:color w:val="334155"/>
              </w:rPr>
              <w:t xml:space="preserve">2 vCPU, 4 GB RAM</w:t>
            </w:r>
          </w:p>
        </w:tc>
        <w:tc>
          <w:tcPr>
            <w:tcW w:w="2500" w:type="dxa"/>
            <w:shd w:val="clear" w:color="auto" w:fill="f8fafc"/>
          </w:tcPr>
          <w:p>
            <w:pPr>
              <w:spacing w:before="90" w:after="90"/>
              <w:jc w:val="left"/>
            </w:pPr>
            <w:r>
              <w:rPr>
                <w:sz w:val="20"/>
                <w:color w:val="334155"/>
              </w:rPr>
              <w:t xml:space="preserve">High Availability Cluster + F5 / Traefik Ingress</w:t>
            </w:r>
          </w:p>
        </w:tc>
      </w:tr>
    </w:tbl>
    <w:p>
      <w:pPr>
        <w:pStyle w:val="Normal"/>
        <w:jc w:val="left"/>
        <w:spacing w:before="80" w:after="80"/>
      </w:pPr>
      <w:r>
        <w:t xml:space="preserve"/>
      </w:r>
    </w:p>
    <w:p>
      <w:pPr>
        <w:pStyle w:val="Heading2"/>
        <w:jc w:val="left"/>
        <w:spacing w:before="240" w:after="80"/>
      </w:pPr>
      <w:r>
        <w:rPr>
          <w:b/>
          <w:color w:val="0284c7"/>
          <w:sz w:val="28"/>
        </w:rPr>
        <w:t xml:space="preserve">2.1. Software Runtimes &amp; Tooling</w:t>
      </w:r>
    </w:p>
    <w:p>
      <w:pPr>
        <w:pStyle w:val="Normal"/>
        <w:jc w:val="left"/>
        <w:spacing w:before="40" w:after="40"/>
      </w:pPr>
      <w:r>
        <w:rPr>
          <w:b/>
          <w:color w:val="0284c7"/>
        </w:rPr>
        <w:t xml:space="preserve">•  </w:t>
      </w:r>
      <w:r>
        <w:rPr>
          <w:b/>
          <w:color w:val="1e293b"/>
        </w:rPr>
        <w:t xml:space="preserve">Node.js Runtime: </w:t>
      </w:r>
      <w:r>
        <w:rPr>
          <w:color w:val="334155"/>
        </w:rPr>
        <w:t xml:space="preserve">Version 18.18+ or 20.x LTS (Recommended: Node 20.x LTS for optimal memory efficiency and V8 garbage collection).</w:t>
      </w:r>
    </w:p>
    <w:p>
      <w:pPr>
        <w:pStyle w:val="Normal"/>
        <w:jc w:val="left"/>
        <w:spacing w:before="40" w:after="40"/>
      </w:pPr>
      <w:r>
        <w:rPr>
          <w:b/>
          <w:color w:val="0284c7"/>
        </w:rPr>
        <w:t xml:space="preserve">•  </w:t>
      </w:r>
      <w:r>
        <w:rPr>
          <w:b/>
          <w:color w:val="1e293b"/>
        </w:rPr>
        <w:t xml:space="preserve">Package Manager: </w:t>
      </w:r>
      <w:r>
        <w:rPr>
          <w:color w:val="334155"/>
        </w:rPr>
        <w:t xml:space="preserve">npm v9+ (or pnpm v8+).</w:t>
      </w:r>
    </w:p>
    <w:p>
      <w:pPr>
        <w:pStyle w:val="Normal"/>
        <w:jc w:val="left"/>
        <w:spacing w:before="40" w:after="40"/>
      </w:pPr>
      <w:r>
        <w:rPr>
          <w:b/>
          <w:color w:val="0284c7"/>
        </w:rPr>
        <w:t xml:space="preserve">•  </w:t>
      </w:r>
      <w:r>
        <w:rPr>
          <w:b/>
          <w:color w:val="1e293b"/>
        </w:rPr>
        <w:t xml:space="preserve">Process Supervisor: </w:t>
      </w:r>
      <w:r>
        <w:rPr>
          <w:color w:val="334155"/>
        </w:rPr>
        <w:t xml:space="preserve">PM2 or Docker/Systemd when deploying to standalone virtual machines.</w:t>
      </w:r>
    </w:p>
    <w:p>
      <w:pPr>
        <w:pStyle w:val="Normal"/>
        <w:jc w:val="left"/>
        <w:spacing w:before="40" w:after="40"/>
      </w:pPr>
      <w:r>
        <w:rPr>
          <w:b/>
          <w:color w:val="0284c7"/>
        </w:rPr>
        <w:t xml:space="preserve">•  </w:t>
      </w:r>
      <w:r>
        <w:rPr>
          <w:b/>
          <w:color w:val="1e293b"/>
        </w:rPr>
        <w:t xml:space="preserve">Reverse Proxy: </w:t>
      </w:r>
      <w:r>
        <w:rPr>
          <w:color w:val="334155"/>
        </w:rPr>
        <w:t xml:space="preserve">Nginx, Cloudflare, AWS ALB, or Azure Application Gateway terminating TLS 1.3.</w:t>
      </w:r>
    </w:p>
    <w:p>
      <w:pPr>
        <w:pStyle w:val="Heading2"/>
        <w:jc w:val="left"/>
        <w:spacing w:before="240" w:after="80"/>
      </w:pPr>
      <w:r>
        <w:rPr>
          <w:b/>
          <w:color w:val="0284c7"/>
          <w:sz w:val="28"/>
        </w:rPr>
        <w:t xml:space="preserve">2.2. Network &amp; Firewall Rules</w:t>
      </w:r>
    </w:p>
    <w:p>
      <w:pPr>
        <w:pStyle w:val="Normal"/>
        <w:jc w:val="left"/>
        <w:spacing w:before="40" w:after="40"/>
      </w:pPr>
      <w:r>
        <w:rPr>
          <w:b/>
          <w:color w:val="0284c7"/>
        </w:rPr>
        <w:t xml:space="preserve">•  </w:t>
      </w:r>
      <w:r>
        <w:rPr>
          <w:b/>
          <w:color w:val="1e293b"/>
        </w:rPr>
        <w:t xml:space="preserve">Inbound Traffic: </w:t>
      </w:r>
      <w:r>
        <w:rPr>
          <w:color w:val="334155"/>
        </w:rPr>
        <w:t xml:space="preserve">Port 443 (HTTPS) for client web browsers and webhook ingest.</w:t>
      </w:r>
    </w:p>
    <w:p>
      <w:pPr>
        <w:pStyle w:val="Normal"/>
        <w:jc w:val="left"/>
        <w:spacing w:before="40" w:after="40"/>
      </w:pPr>
      <w:r>
        <w:rPr>
          <w:b/>
          <w:color w:val="0284c7"/>
        </w:rPr>
        <w:t xml:space="preserve">•  </w:t>
      </w:r>
      <w:r>
        <w:rPr>
          <w:b/>
          <w:color w:val="1e293b"/>
        </w:rPr>
        <w:t xml:space="preserve">Outbound Port 443: </w:t>
      </w:r>
      <w:r>
        <w:rPr>
          <w:color w:val="334155"/>
        </w:rPr>
        <w:t xml:space="preserve">Must permit outbound HTTPS traffic to:</w:t>
      </w:r>
    </w:p>
    <w:p>
      <w:pPr>
        <w:pStyle w:val="Normal"/>
        <w:jc w:val="left"/>
        <w:spacing w:before="100" w:after="100"/>
      </w:pPr>
      <w:r>
        <w:t xml:space="preserve">   • ServiceNow Instance: https://&lt;your-instance&gt;.service-now.com
   • Microsoft Graph API: https://graph.microsoft.com and https://login.microsoftonline.com
   • Google Gemini AI: https://generativelanguage.googleapis.com
   • Neon / PostgreSQL: TCP Port 5432 (or port 6543 for pooled connections with SSL).</w:t>
      </w:r>
    </w:p>
    <w:p>
      <w:pPr>
        <w:pStyle w:val="Heading1"/>
        <w:jc w:val="left"/>
        <w:spacing w:before="360" w:after="120"/>
      </w:pPr>
      <w:r>
        <w:rPr>
          <w:b/>
          <w:color w:val="0f172a"/>
          <w:sz w:val="36"/>
        </w:rPr>
        <w:t xml:space="preserve">3. Database &amp; Persistence Layer (PostgreSQL + Prisma)</w:t>
      </w:r>
    </w:p>
    <w:p>
      <w:pPr>
        <w:pStyle w:val="Normal"/>
        <w:jc w:val="left"/>
        <w:spacing w:before="100" w:after="100"/>
      </w:pPr>
      <w:r>
        <w:t xml:space="preserve">All persistent records—including incidents, timeline updates, closure issue tags, site topologies, support directories, and audit logs—are managed via Prisma ORM on PostgreSQL.</w:t>
      </w:r>
    </w:p>
    <w:tbl>
      <w:tblPr>
        <w:tblW w:w="9600" w:type="dxa"/>
        <w:tblBorders>
          <w:top w:val="single" w:sz="6" w:space="0" w:color="cbd5e1"/>
          <w:left w:val="none"/>
          <w:bottom w:val="single" w:sz="12" w:space="0" w:color="94a3b8"/>
          <w:right w:val="none"/>
          <w:insideH w:val="single" w:sz="4" w:space="0" w:color="e2e8f0"/>
          <w:insideV w:val="none"/>
        </w:tblBorders>
        <w:tblCellMar>
          <w:top w:w="100" w:type="dxa"/>
          <w:left w:w="140" w:type="dxa"/>
          <w:bottom w:w="100" w:type="dxa"/>
          <w:right w:w="140" w:type="dxa"/>
        </w:tblCellMar>
      </w:tblPr>
      <w:tr>
        <w:trPr>
          <w:tblHeader/>
        </w:trPr>
        <w:tc>
          <w:tcPr>
            <w:tcW w:w="2200" w:type="dxa"/>
            <w:shd w:val="clear" w:color="auto" w:fill="1e293b"/>
          </w:tcPr>
          <w:p>
            <w:pPr>
              <w:spacing w:before="120" w:after="120"/>
              <w:jc w:val="left"/>
            </w:pPr>
            <w:r>
              <w:rPr>
                <w:b/>
                <w:color w:val="ffffff"/>
                <w:sz w:val="20"/>
              </w:rPr>
              <w:t xml:space="preserve">Component</w:t>
            </w:r>
          </w:p>
        </w:tc>
        <w:tc>
          <w:tcPr>
            <w:tcW w:w="3400" w:type="dxa"/>
            <w:shd w:val="clear" w:color="auto" w:fill="1e293b"/>
          </w:tcPr>
          <w:p>
            <w:pPr>
              <w:spacing w:before="120" w:after="120"/>
              <w:jc w:val="left"/>
            </w:pPr>
            <w:r>
              <w:rPr>
                <w:b/>
                <w:color w:val="ffffff"/>
                <w:sz w:val="20"/>
              </w:rPr>
              <w:t xml:space="preserve">Requirement</w:t>
            </w:r>
          </w:p>
        </w:tc>
        <w:tc>
          <w:tcPr>
            <w:tcW w:w="4000" w:type="dxa"/>
            <w:shd w:val="clear" w:color="auto" w:fill="1e293b"/>
          </w:tcPr>
          <w:p>
            <w:pPr>
              <w:spacing w:before="120" w:after="120"/>
              <w:jc w:val="left"/>
            </w:pPr>
            <w:r>
              <w:rPr>
                <w:b/>
                <w:color w:val="ffffff"/>
                <w:sz w:val="20"/>
              </w:rPr>
              <w:t xml:space="preserve">Production Recommendation</w:t>
            </w:r>
          </w:p>
        </w:tc>
      </w:tr>
      <w:tr>
        <w:tc>
          <w:tcPr>
            <w:tcW w:w="2200" w:type="dxa"/>
            <w:shd w:val="clear" w:color="auto" w:fill="ffffff"/>
          </w:tcPr>
          <w:p>
            <w:pPr>
              <w:spacing w:before="90" w:after="90"/>
              <w:jc w:val="left"/>
            </w:pPr>
            <w:r>
              <w:rPr>
                <w:sz w:val="20"/>
                <w:color w:val="334155"/>
              </w:rPr>
              <w:t xml:space="preserve">Database Engine</w:t>
            </w:r>
          </w:p>
        </w:tc>
        <w:tc>
          <w:tcPr>
            <w:tcW w:w="3400" w:type="dxa"/>
            <w:shd w:val="clear" w:color="auto" w:fill="ffffff"/>
          </w:tcPr>
          <w:p>
            <w:pPr>
              <w:spacing w:before="90" w:after="90"/>
              <w:jc w:val="left"/>
            </w:pPr>
            <w:r>
              <w:rPr>
                <w:sz w:val="20"/>
                <w:color w:val="334155"/>
              </w:rPr>
              <w:t xml:space="preserve">PostgreSQL 14, 15, or 16</w:t>
            </w:r>
          </w:p>
        </w:tc>
        <w:tc>
          <w:tcPr>
            <w:tcW w:w="4000" w:type="dxa"/>
            <w:shd w:val="clear" w:color="auto" w:fill="ffffff"/>
          </w:tcPr>
          <w:p>
            <w:pPr>
              <w:spacing w:before="90" w:after="90"/>
              <w:jc w:val="left"/>
            </w:pPr>
            <w:r>
              <w:rPr>
                <w:sz w:val="20"/>
                <w:color w:val="334155"/>
              </w:rPr>
              <w:t xml:space="preserve">PostgreSQL 15 or 16 with SSL enabled (`sslmode=require`)</w:t>
            </w:r>
          </w:p>
        </w:tc>
      </w:tr>
      <w:tr>
        <w:tc>
          <w:tcPr>
            <w:tcW w:w="2200" w:type="dxa"/>
            <w:shd w:val="clear" w:color="auto" w:fill="f8fafc"/>
          </w:tcPr>
          <w:p>
            <w:pPr>
              <w:spacing w:before="90" w:after="90"/>
              <w:jc w:val="left"/>
            </w:pPr>
            <w:r>
              <w:rPr>
                <w:sz w:val="20"/>
                <w:color w:val="334155"/>
              </w:rPr>
              <w:t xml:space="preserve">Managed Cloud Provider</w:t>
            </w:r>
          </w:p>
        </w:tc>
        <w:tc>
          <w:tcPr>
            <w:tcW w:w="3400" w:type="dxa"/>
            <w:shd w:val="clear" w:color="auto" w:fill="f8fafc"/>
          </w:tcPr>
          <w:p>
            <w:pPr>
              <w:spacing w:before="90" w:after="90"/>
              <w:jc w:val="left"/>
            </w:pPr>
            <w:r>
              <w:rPr>
                <w:sz w:val="20"/>
                <w:color w:val="334155"/>
              </w:rPr>
              <w:t xml:space="preserve">Neon, AWS RDS, Azure Postgres, GCP Cloud SQL</w:t>
            </w:r>
          </w:p>
        </w:tc>
        <w:tc>
          <w:tcPr>
            <w:tcW w:w="4000" w:type="dxa"/>
            <w:shd w:val="clear" w:color="auto" w:fill="f8fafc"/>
          </w:tcPr>
          <w:p>
            <w:pPr>
              <w:spacing w:before="90" w:after="90"/>
              <w:jc w:val="left"/>
            </w:pPr>
            <w:r>
              <w:rPr>
                <w:sz w:val="20"/>
                <w:color w:val="334155"/>
              </w:rPr>
              <w:t xml:space="preserve">Neon Serverless Postgres or AWS Aurora Serverless v2</w:t>
            </w:r>
          </w:p>
        </w:tc>
      </w:tr>
      <w:tr>
        <w:tc>
          <w:tcPr>
            <w:tcW w:w="2200" w:type="dxa"/>
            <w:shd w:val="clear" w:color="auto" w:fill="ffffff"/>
          </w:tcPr>
          <w:p>
            <w:pPr>
              <w:spacing w:before="90" w:after="90"/>
              <w:jc w:val="left"/>
            </w:pPr>
            <w:r>
              <w:rPr>
                <w:sz w:val="20"/>
                <w:color w:val="334155"/>
              </w:rPr>
              <w:t xml:space="preserve">Connection Pooling</w:t>
            </w:r>
          </w:p>
        </w:tc>
        <w:tc>
          <w:tcPr>
            <w:tcW w:w="3400" w:type="dxa"/>
            <w:shd w:val="clear" w:color="auto" w:fill="ffffff"/>
          </w:tcPr>
          <w:p>
            <w:pPr>
              <w:spacing w:before="90" w:after="90"/>
              <w:jc w:val="left"/>
            </w:pPr>
            <w:r>
              <w:rPr>
                <w:sz w:val="20"/>
                <w:color w:val="334155"/>
              </w:rPr>
              <w:t xml:space="preserve">Recommended for serverless &amp; high concurrency</w:t>
            </w:r>
          </w:p>
        </w:tc>
        <w:tc>
          <w:tcPr>
            <w:tcW w:w="4000" w:type="dxa"/>
            <w:shd w:val="clear" w:color="auto" w:fill="ffffff"/>
          </w:tcPr>
          <w:p>
            <w:pPr>
              <w:spacing w:before="90" w:after="90"/>
              <w:jc w:val="left"/>
            </w:pPr>
            <w:r>
              <w:rPr>
                <w:sz w:val="20"/>
                <w:color w:val="334155"/>
              </w:rPr>
              <w:t xml:space="preserve">Neon built-in pooler or pgBouncer (connection pool size: 20-50)</w:t>
            </w:r>
          </w:p>
        </w:tc>
      </w:tr>
      <w:tr>
        <w:tc>
          <w:tcPr>
            <w:tcW w:w="2200" w:type="dxa"/>
            <w:shd w:val="clear" w:color="auto" w:fill="f8fafc"/>
          </w:tcPr>
          <w:p>
            <w:pPr>
              <w:spacing w:before="90" w:after="90"/>
              <w:jc w:val="left"/>
            </w:pPr>
            <w:r>
              <w:rPr>
                <w:sz w:val="20"/>
                <w:color w:val="334155"/>
              </w:rPr>
              <w:t xml:space="preserve">Storage Sizing</w:t>
            </w:r>
          </w:p>
        </w:tc>
        <w:tc>
          <w:tcPr>
            <w:tcW w:w="3400" w:type="dxa"/>
            <w:shd w:val="clear" w:color="auto" w:fill="f8fafc"/>
          </w:tcPr>
          <w:p>
            <w:pPr>
              <w:spacing w:before="90" w:after="90"/>
              <w:jc w:val="left"/>
            </w:pPr>
            <w:r>
              <w:rPr>
                <w:sz w:val="20"/>
                <w:color w:val="334155"/>
              </w:rPr>
              <w:t xml:space="preserve">Minimum 5 GB initial allocation</w:t>
            </w:r>
          </w:p>
        </w:tc>
        <w:tc>
          <w:tcPr>
            <w:tcW w:w="4000" w:type="dxa"/>
            <w:shd w:val="clear" w:color="auto" w:fill="f8fafc"/>
          </w:tcPr>
          <w:p>
            <w:pPr>
              <w:spacing w:before="90" w:after="90"/>
              <w:jc w:val="left"/>
            </w:pPr>
            <w:r>
              <w:rPr>
                <w:sz w:val="20"/>
                <w:color w:val="334155"/>
              </w:rPr>
              <w:t xml:space="preserve">10 GB - 50 GB SSD (scales at ~1.5 GB per 20,000 incident lifecycles)</w:t>
            </w:r>
          </w:p>
        </w:tc>
      </w:tr>
      <w:tr>
        <w:tc>
          <w:tcPr>
            <w:tcW w:w="2200" w:type="dxa"/>
            <w:shd w:val="clear" w:color="auto" w:fill="ffffff"/>
          </w:tcPr>
          <w:p>
            <w:pPr>
              <w:spacing w:before="90" w:after="90"/>
              <w:jc w:val="left"/>
            </w:pPr>
            <w:r>
              <w:rPr>
                <w:sz w:val="20"/>
                <w:color w:val="334155"/>
              </w:rPr>
              <w:t xml:space="preserve">Database Privileges</w:t>
            </w:r>
          </w:p>
        </w:tc>
        <w:tc>
          <w:tcPr>
            <w:tcW w:w="3400" w:type="dxa"/>
            <w:shd w:val="clear" w:color="auto" w:fill="ffffff"/>
          </w:tcPr>
          <w:p>
            <w:pPr>
              <w:spacing w:before="90" w:after="90"/>
              <w:jc w:val="left"/>
            </w:pPr>
            <w:r>
              <w:rPr>
                <w:sz w:val="20"/>
                <w:color w:val="334155"/>
              </w:rPr>
              <w:t xml:space="preserve">DDL + DML permissions</w:t>
            </w:r>
          </w:p>
        </w:tc>
        <w:tc>
          <w:tcPr>
            <w:tcW w:w="4000" w:type="dxa"/>
            <w:shd w:val="clear" w:color="auto" w:fill="ffffff"/>
          </w:tcPr>
          <w:p>
            <w:pPr>
              <w:spacing w:before="90" w:after="90"/>
              <w:jc w:val="left"/>
            </w:pPr>
            <w:r>
              <w:rPr>
                <w:sz w:val="20"/>
                <w:color w:val="334155"/>
              </w:rPr>
              <w:t xml:space="preserve">User with CREATE, ALTER, INDEX, SELECT, INSERT, UPDATE, DELETE</w:t>
            </w:r>
          </w:p>
        </w:tc>
      </w:tr>
    </w:tbl>
    <w:p>
      <w:pPr>
        <w:pStyle w:val="Normal"/>
        <w:jc w:val="left"/>
        <w:spacing w:before="80" w:after="80"/>
      </w:pPr>
      <w:r>
        <w:t xml:space="preserve"/>
      </w:r>
    </w:p>
    <w:tbl>
      <w:tblPr>
        <w:tblW w:w="9600" w:type="dxa"/>
        <w:tblBorders>
          <w:top w:val="none"/>
          <w:left w:val="single" w:sz="36" w:space="0" w:color="10b981"/>
          <w:bottom w:val="none"/>
          <w:right w:val="none"/>
        </w:tblBorders>
        <w:tblCellMar>
          <w:top w:w="140" w:type="dxa"/>
          <w:left w:w="220" w:type="dxa"/>
          <w:bottom w:w="140" w:type="dxa"/>
          <w:right w:w="200" w:type="dxa"/>
        </w:tblCellMar>
      </w:tblPr>
      <w:tr>
        <w:tc>
          <w:tcPr>
            <w:tcW w:w="9600" w:type="dxa"/>
            <w:shd w:val="clear" w:color="auto" w:fill="f0fdf4"/>
          </w:tcPr>
          <w:p>
            <w:pPr>
              <w:spacing w:before="60" w:after="40"/>
            </w:pPr>
            <w:r>
              <w:rPr>
                <w:b/>
                <w:color w:val="10b981"/>
                <w:sz w:val="22"/>
              </w:rPr>
              <w:t xml:space="preserve">✅ Prisma Schema Synchronization</w:t>
            </w:r>
          </w:p>
          <w:p>
            <w:pPr>
              <w:spacing w:before="40" w:after="60"/>
            </w:pPr>
            <w:r>
              <w:rPr>
                <w:color w:val="334155"/>
                <w:sz w:val="21"/>
              </w:rPr>
              <w:t xml:space="preserve">Database schema deployment requires executing `npx prisma db push` or `npx prisma migrate deploy` followed by `node scripts/seed.js` to initialize the 8 default closure issue tags and essential system settings.</w:t>
            </w:r>
          </w:p>
        </w:tc>
      </w:tr>
    </w:tbl>
    <w:p>
      <w:pPr>
        <w:pStyle w:val="Normal"/>
        <w:jc w:val="left"/>
        <w:spacing w:before="60" w:after="60"/>
      </w:pPr>
      <w:r>
        <w:t xml:space="preserve"/>
      </w:r>
    </w:p>
    <w:p>
      <w:pPr>
        <w:pStyle w:val="Heading1"/>
        <w:jc w:val="left"/>
        <w:spacing w:before="360" w:after="120"/>
      </w:pPr>
      <w:r>
        <w:rPr>
          <w:b/>
          <w:color w:val="0f172a"/>
          <w:sz w:val="36"/>
        </w:rPr>
        <w:t xml:space="preserve">4. Enterprise External APIs &amp; Integration Credentials</w:t>
      </w:r>
    </w:p>
    <w:p>
      <w:pPr>
        <w:pStyle w:val="Normal"/>
        <w:jc w:val="left"/>
        <w:spacing w:before="100" w:after="100"/>
      </w:pPr>
      <w:r>
        <w:t xml:space="preserve">The platform relies on four major enterprise integration pillars. Below are the exact credentials, permission scopes, and technical prerequisites needed for each:</w:t>
      </w:r>
    </w:p>
    <w:p>
      <w:pPr>
        <w:pStyle w:val="Heading2"/>
        <w:jc w:val="left"/>
        <w:spacing w:before="240" w:after="80"/>
      </w:pPr>
      <w:r>
        <w:rPr>
          <w:b/>
          <w:color w:val="0284c7"/>
          <w:sz w:val="28"/>
        </w:rPr>
        <w:t xml:space="preserve">4.1. ServiceNow Integration (ITSM, CMDB &amp; KB)</w:t>
      </w:r>
    </w:p>
    <w:p>
      <w:pPr>
        <w:pStyle w:val="Normal"/>
        <w:jc w:val="left"/>
        <w:spacing w:before="100" w:after="100"/>
      </w:pPr>
      <w:r>
        <w:t xml:space="preserve">The CIM Outage Centre connects to ServiceNow via REST Table API and the embedded ServiceNow Model Context Protocol (MCP) server:</w:t>
      </w:r>
    </w:p>
    <w:p>
      <w:pPr>
        <w:pStyle w:val="Normal"/>
        <w:jc w:val="left"/>
        <w:spacing w:before="40" w:after="40"/>
      </w:pPr>
      <w:r>
        <w:rPr>
          <w:b/>
          <w:color w:val="0284c7"/>
        </w:rPr>
        <w:t xml:space="preserve">•  </w:t>
      </w:r>
      <w:r>
        <w:rPr>
          <w:b/>
          <w:color w:val="1e293b"/>
        </w:rPr>
        <w:t xml:space="preserve">Instance URL: </w:t>
      </w:r>
      <w:r>
        <w:rPr>
          <w:color w:val="334155"/>
        </w:rPr>
        <w:t xml:space="preserve">Full HTTPS URL of your ServiceNow instance (e.g. `https://company.service-now.com`).</w:t>
      </w:r>
    </w:p>
    <w:p>
      <w:pPr>
        <w:pStyle w:val="Normal"/>
        <w:jc w:val="left"/>
        <w:spacing w:before="40" w:after="40"/>
      </w:pPr>
      <w:r>
        <w:rPr>
          <w:b/>
          <w:color w:val="0284c7"/>
        </w:rPr>
        <w:t xml:space="preserve">•  </w:t>
      </w:r>
      <w:r>
        <w:rPr>
          <w:b/>
          <w:color w:val="1e293b"/>
        </w:rPr>
        <w:t xml:space="preserve">Integration Service Account: </w:t>
      </w:r>
      <w:r>
        <w:rPr>
          <w:color w:val="334155"/>
        </w:rPr>
        <w:t xml:space="preserve">A dedicated integration user (e.g. `svc_cim_centre`) or OAuth 2.0 Client credentials.</w:t>
      </w:r>
    </w:p>
    <w:p>
      <w:pPr>
        <w:pStyle w:val="Normal"/>
        <w:jc w:val="left"/>
        <w:spacing w:before="40" w:after="40"/>
      </w:pPr>
      <w:r>
        <w:rPr>
          <w:b/>
          <w:color w:val="0284c7"/>
        </w:rPr>
        <w:t xml:space="preserve">•  </w:t>
      </w:r>
      <w:r>
        <w:rPr>
          <w:b/>
          <w:color w:val="1e293b"/>
        </w:rPr>
        <w:t xml:space="preserve">Required ServiceNow ITIL Roles: </w:t>
      </w:r>
      <w:r>
        <w:rPr>
          <w:color w:val="334155"/>
        </w:rPr>
        <w:t xml:space="preserve"/>
      </w:r>
    </w:p>
    <w:p>
      <w:pPr>
        <w:pStyle w:val="Normal"/>
        <w:jc w:val="left"/>
        <w:spacing w:before="100" w:after="100"/>
      </w:pPr>
      <w:r>
        <w:t xml:space="preserve">   • `itil`: Standard operational access to read and update incident worknotes.
   • `sn_incident_read` &amp; `sn_incident_write`: Incident querying and automated timeline sync.
   • `sn_change_read`: Querying `change_request` table within the strict 30-day production window.
   • `knowledge` / `sn_kb_read`: Querying knowledge articles in `kb_knowledge` table.
   • `sys_user_group` (Read): Querying authentic assignment groups for live AI verification.</w:t>
      </w:r>
    </w:p>
    <w:p>
      <w:pPr>
        <w:pStyle w:val="Normal"/>
        <w:jc w:val="left"/>
        <w:spacing w:before="40" w:after="40"/>
      </w:pPr>
      <w:r>
        <w:rPr>
          <w:b/>
          <w:color w:val="0284c7"/>
        </w:rPr>
        <w:t xml:space="preserve">•  </w:t>
      </w:r>
      <w:r>
        <w:rPr>
          <w:b/>
          <w:color w:val="1e293b"/>
        </w:rPr>
        <w:t xml:space="preserve">ServiceNow MCP Server: </w:t>
      </w:r>
      <w:r>
        <w:rPr>
          <w:color w:val="334155"/>
        </w:rPr>
        <w:t xml:space="preserve">Can run locally via stdio (`scripts/servicenow-mcp-server.js`) or remotely via Server-Sent Events (SSE).</w:t>
      </w:r>
    </w:p>
    <w:p>
      <w:pPr>
        <w:pStyle w:val="Heading2"/>
        <w:jc w:val="left"/>
        <w:spacing w:before="240" w:after="80"/>
      </w:pPr>
      <w:r>
        <w:rPr>
          <w:b/>
          <w:color w:val="0284c7"/>
          <w:sz w:val="28"/>
        </w:rPr>
        <w:t xml:space="preserve">4.2. Microsoft 365 &amp; Microsoft Entra ID (Azure AD)</w:t>
      </w:r>
    </w:p>
    <w:p>
      <w:pPr>
        <w:pStyle w:val="Normal"/>
        <w:jc w:val="left"/>
        <w:spacing w:before="100" w:after="100"/>
      </w:pPr>
      <w:r>
        <w:t xml:space="preserve">Enables single sign-on (SSO) for corporate users and automates email dispatches and Teams bridge meeting links:</w:t>
      </w:r>
    </w:p>
    <w:p>
      <w:pPr>
        <w:pStyle w:val="Normal"/>
        <w:jc w:val="left"/>
        <w:spacing w:before="40" w:after="40"/>
      </w:pPr>
      <w:r>
        <w:rPr>
          <w:b/>
          <w:color w:val="0284c7"/>
        </w:rPr>
        <w:t xml:space="preserve">•  </w:t>
      </w:r>
      <w:r>
        <w:rPr>
          <w:b/>
          <w:color w:val="1e293b"/>
        </w:rPr>
        <w:t xml:space="preserve">Azure App Registration: </w:t>
      </w:r>
      <w:r>
        <w:rPr>
          <w:color w:val="334155"/>
        </w:rPr>
        <w:t xml:space="preserve">Registered in Microsoft Entra ID (portal.azure.com).</w:t>
      </w:r>
    </w:p>
    <w:p>
      <w:pPr>
        <w:pStyle w:val="Normal"/>
        <w:jc w:val="left"/>
        <w:spacing w:before="40" w:after="40"/>
      </w:pPr>
      <w:r>
        <w:rPr>
          <w:b/>
          <w:color w:val="0284c7"/>
        </w:rPr>
        <w:t xml:space="preserve">•  </w:t>
      </w:r>
      <w:r>
        <w:rPr>
          <w:b/>
          <w:color w:val="1e293b"/>
        </w:rPr>
        <w:t xml:space="preserve">Application (Client) ID: </w:t>
      </w:r>
      <w:r>
        <w:rPr>
          <w:color w:val="334155"/>
        </w:rPr>
        <w:t xml:space="preserve">`AZURE_AD_CLIENT_ID` - UUID generated by Azure Portal.</w:t>
      </w:r>
    </w:p>
    <w:p>
      <w:pPr>
        <w:pStyle w:val="Normal"/>
        <w:jc w:val="left"/>
        <w:spacing w:before="40" w:after="40"/>
      </w:pPr>
      <w:r>
        <w:rPr>
          <w:b/>
          <w:color w:val="0284c7"/>
        </w:rPr>
        <w:t xml:space="preserve">•  </w:t>
      </w:r>
      <w:r>
        <w:rPr>
          <w:b/>
          <w:color w:val="1e293b"/>
        </w:rPr>
        <w:t xml:space="preserve">Client Secret: </w:t>
      </w:r>
      <w:r>
        <w:rPr>
          <w:color w:val="334155"/>
        </w:rPr>
        <w:t xml:space="preserve">`AZURE_AD_CLIENT_SECRET` - Confidential key generated with 12 to 24 month expiration.</w:t>
      </w:r>
    </w:p>
    <w:p>
      <w:pPr>
        <w:pStyle w:val="Normal"/>
        <w:jc w:val="left"/>
        <w:spacing w:before="40" w:after="40"/>
      </w:pPr>
      <w:r>
        <w:rPr>
          <w:b/>
          <w:color w:val="0284c7"/>
        </w:rPr>
        <w:t xml:space="preserve">•  </w:t>
      </w:r>
      <w:r>
        <w:rPr>
          <w:b/>
          <w:color w:val="1e293b"/>
        </w:rPr>
        <w:t xml:space="preserve">Directory (Tenant) ID: </w:t>
      </w:r>
      <w:r>
        <w:rPr>
          <w:color w:val="334155"/>
        </w:rPr>
        <w:t xml:space="preserve">`AZURE_AD_TENANT_ID` - Corporate tenant UUID.</w:t>
      </w:r>
    </w:p>
    <w:p>
      <w:pPr>
        <w:pStyle w:val="Normal"/>
        <w:jc w:val="left"/>
        <w:spacing w:before="40" w:after="40"/>
      </w:pPr>
      <w:r>
        <w:rPr>
          <w:b/>
          <w:color w:val="0284c7"/>
        </w:rPr>
        <w:t xml:space="preserve">•  </w:t>
      </w:r>
      <w:r>
        <w:rPr>
          <w:b/>
          <w:color w:val="1e293b"/>
        </w:rPr>
        <w:t xml:space="preserve">Redirect URI: </w:t>
      </w:r>
      <w:r>
        <w:rPr>
          <w:color w:val="334155"/>
        </w:rPr>
        <w:t xml:space="preserve">`https://&lt;your-domain&gt;/api/auth/sso/callback` (Must be configured as a Web Redirect URI in Azure Portal).</w:t>
      </w:r>
    </w:p>
    <w:p>
      <w:pPr>
        <w:pStyle w:val="Normal"/>
        <w:jc w:val="left"/>
        <w:spacing w:before="40" w:after="40"/>
      </w:pPr>
      <w:r>
        <w:rPr>
          <w:b/>
          <w:color w:val="0284c7"/>
        </w:rPr>
        <w:t xml:space="preserve">•  </w:t>
      </w:r>
      <w:r>
        <w:rPr>
          <w:b/>
          <w:color w:val="1e293b"/>
        </w:rPr>
        <w:t xml:space="preserve">Microsoft Graph API Permissions (Delegated &amp; Application): </w:t>
      </w:r>
      <w:r>
        <w:rPr>
          <w:color w:val="334155"/>
        </w:rPr>
        <w:t xml:space="preserve"/>
      </w:r>
    </w:p>
    <w:p>
      <w:pPr>
        <w:pStyle w:val="Normal"/>
        <w:jc w:val="left"/>
        <w:spacing w:before="100" w:after="100"/>
      </w:pPr>
      <w:r>
        <w:t xml:space="preserve">   • `User.Read` (Delegated): Authenticate users and retrieve name/email/ID during SSO sign-in.
   • `Mail.Send` (Application or Delegated): Send CIM update notifications to bridge recipients, assignment groups, and site engineers.
   • `OnlineMeetings.ReadWrite` (Delegated / App, Optional): Programmatically generate Microsoft Teams bridge meeting links.</w:t>
      </w:r>
    </w:p>
    <w:p>
      <w:pPr>
        <w:pStyle w:val="Heading2"/>
        <w:jc w:val="left"/>
        <w:spacing w:before="240" w:after="80"/>
      </w:pPr>
      <w:r>
        <w:rPr>
          <w:b/>
          <w:color w:val="0284c7"/>
          <w:sz w:val="28"/>
        </w:rPr>
        <w:t xml:space="preserve">4.3. Alternative SMTP Email Relay (If not using Microsoft Graph)</w:t>
      </w:r>
    </w:p>
    <w:p>
      <w:pPr>
        <w:pStyle w:val="Normal"/>
        <w:jc w:val="left"/>
        <w:spacing w:before="100" w:after="100"/>
      </w:pPr>
      <w:r>
        <w:t xml:space="preserve">If Microsoft Graph Mail is not enabled in your tenant, the application can dispatch emails via corporate SMTP:</w:t>
      </w:r>
    </w:p>
    <w:p>
      <w:pPr>
        <w:pStyle w:val="Normal"/>
        <w:jc w:val="left"/>
        <w:spacing w:before="40" w:after="40"/>
      </w:pPr>
      <w:r>
        <w:rPr>
          <w:b/>
          <w:color w:val="0284c7"/>
        </w:rPr>
        <w:t xml:space="preserve">•  </w:t>
      </w:r>
      <w:r>
        <w:rPr>
          <w:b/>
          <w:color w:val="1e293b"/>
        </w:rPr>
        <w:t xml:space="preserve">SMTP Server: </w:t>
      </w:r>
      <w:r>
        <w:rPr>
          <w:color w:val="334155"/>
        </w:rPr>
        <w:t xml:space="preserve">`SMTP_HOST` (e.g., `smtp.office365.com`, `email-smtp.us-east-1.amazonaws.com`, SendGrid).</w:t>
      </w:r>
    </w:p>
    <w:p>
      <w:pPr>
        <w:pStyle w:val="Normal"/>
        <w:jc w:val="left"/>
        <w:spacing w:before="40" w:after="40"/>
      </w:pPr>
      <w:r>
        <w:rPr>
          <w:b/>
          <w:color w:val="0284c7"/>
        </w:rPr>
        <w:t xml:space="preserve">•  </w:t>
      </w:r>
      <w:r>
        <w:rPr>
          <w:b/>
          <w:color w:val="1e293b"/>
        </w:rPr>
        <w:t xml:space="preserve">SMTP Port: </w:t>
      </w:r>
      <w:r>
        <w:rPr>
          <w:color w:val="334155"/>
        </w:rPr>
        <w:t xml:space="preserve">`SMTP_PORT` (Port 587 with STARTTLS or Port 465 with SSL).</w:t>
      </w:r>
    </w:p>
    <w:p>
      <w:pPr>
        <w:pStyle w:val="Normal"/>
        <w:jc w:val="left"/>
        <w:spacing w:before="40" w:after="40"/>
      </w:pPr>
      <w:r>
        <w:rPr>
          <w:b/>
          <w:color w:val="0284c7"/>
        </w:rPr>
        <w:t xml:space="preserve">•  </w:t>
      </w:r>
      <w:r>
        <w:rPr>
          <w:b/>
          <w:color w:val="1e293b"/>
        </w:rPr>
        <w:t xml:space="preserve">Credentials: </w:t>
      </w:r>
      <w:r>
        <w:rPr>
          <w:color w:val="334155"/>
        </w:rPr>
        <w:t xml:space="preserve">`SMTP_USER` and `SMTP_PASS` (or API Key).</w:t>
      </w:r>
    </w:p>
    <w:p>
      <w:pPr>
        <w:pStyle w:val="Normal"/>
        <w:jc w:val="left"/>
        <w:spacing w:before="40" w:after="40"/>
      </w:pPr>
      <w:r>
        <w:rPr>
          <w:b/>
          <w:color w:val="0284c7"/>
        </w:rPr>
        <w:t xml:space="preserve">•  </w:t>
      </w:r>
      <w:r>
        <w:rPr>
          <w:b/>
          <w:color w:val="1e293b"/>
        </w:rPr>
        <w:t xml:space="preserve">Sender Identity: </w:t>
      </w:r>
      <w:r>
        <w:rPr>
          <w:color w:val="334155"/>
        </w:rPr>
        <w:t xml:space="preserve">`SMTP_FROM` (e.g., `cim-outage-alerts@company.com`).</w:t>
      </w:r>
    </w:p>
    <w:p>
      <w:pPr>
        <w:pStyle w:val="Heading2"/>
        <w:jc w:val="left"/>
        <w:spacing w:before="240" w:after="80"/>
      </w:pPr>
      <w:r>
        <w:rPr>
          <w:b/>
          <w:color w:val="0284c7"/>
          <w:sz w:val="28"/>
        </w:rPr>
        <w:t xml:space="preserve">4.4. Artificial Intelligence &amp; LLM Engine (Google Gemini)</w:t>
      </w:r>
    </w:p>
    <w:p>
      <w:pPr>
        <w:pStyle w:val="Normal"/>
        <w:jc w:val="left"/>
        <w:spacing w:before="100" w:after="100"/>
      </w:pPr>
      <w:r>
        <w:t xml:space="preserve">Powers the AI Analysis Panel, verified assignment group recommendations, 30-day change correlation, and step-by-step remediation plan synthesis:</w:t>
      </w:r>
    </w:p>
    <w:p>
      <w:pPr>
        <w:pStyle w:val="Normal"/>
        <w:jc w:val="left"/>
        <w:spacing w:before="40" w:after="40"/>
      </w:pPr>
      <w:r>
        <w:rPr>
          <w:b/>
          <w:color w:val="0284c7"/>
        </w:rPr>
        <w:t xml:space="preserve">•  </w:t>
      </w:r>
      <w:r>
        <w:rPr>
          <w:b/>
          <w:color w:val="1e293b"/>
        </w:rPr>
        <w:t xml:space="preserve">API Key: </w:t>
      </w:r>
      <w:r>
        <w:rPr>
          <w:color w:val="334155"/>
        </w:rPr>
        <w:t xml:space="preserve">`GEMINI_API_KEY` (Generated via Google AI Studio or Google Cloud Vertex AI).</w:t>
      </w:r>
    </w:p>
    <w:p>
      <w:pPr>
        <w:pStyle w:val="Normal"/>
        <w:jc w:val="left"/>
        <w:spacing w:before="40" w:after="40"/>
      </w:pPr>
      <w:r>
        <w:rPr>
          <w:b/>
          <w:color w:val="0284c7"/>
        </w:rPr>
        <w:t xml:space="preserve">•  </w:t>
      </w:r>
      <w:r>
        <w:rPr>
          <w:b/>
          <w:color w:val="1e293b"/>
        </w:rPr>
        <w:t xml:space="preserve">Recommended Primary Model: </w:t>
      </w:r>
      <w:r>
        <w:rPr>
          <w:color w:val="334155"/>
        </w:rPr>
        <w:t xml:space="preserve">`gemini-1.5-flash` — Ideal balance of sub-second inference speed, low latency, and extreme cost-efficiency.</w:t>
      </w:r>
    </w:p>
    <w:p>
      <w:pPr>
        <w:pStyle w:val="Normal"/>
        <w:jc w:val="left"/>
        <w:spacing w:before="40" w:after="40"/>
      </w:pPr>
      <w:r>
        <w:rPr>
          <w:b/>
          <w:color w:val="0284c7"/>
        </w:rPr>
        <w:t xml:space="preserve">•  </w:t>
      </w:r>
      <w:r>
        <w:rPr>
          <w:b/>
          <w:color w:val="1e293b"/>
        </w:rPr>
        <w:t xml:space="preserve">Advanced Reasoning Model: </w:t>
      </w:r>
      <w:r>
        <w:rPr>
          <w:color w:val="334155"/>
        </w:rPr>
        <w:t xml:space="preserve">`gemini-1.5-pro` — For high-severity P1 incidents requiring deep multi-document synthesis across historical tickets and extensive KB articles.</w:t>
      </w:r>
    </w:p>
    <w:p>
      <w:pPr>
        <w:pStyle w:val="Normal"/>
        <w:jc w:val="left"/>
        <w:spacing w:before="40" w:after="40"/>
      </w:pPr>
      <w:r>
        <w:rPr>
          <w:b/>
          <w:color w:val="0284c7"/>
        </w:rPr>
        <w:t xml:space="preserve">•  </w:t>
      </w:r>
      <w:r>
        <w:rPr>
          <w:b/>
          <w:color w:val="1e293b"/>
        </w:rPr>
        <w:t xml:space="preserve">Enterprise Compliance: </w:t>
      </w:r>
      <w:r>
        <w:rPr>
          <w:color w:val="334155"/>
        </w:rPr>
        <w:t xml:space="preserve">For strictly regulated environments, Google Vertex AI Private Endpoints within an enterprise GCP project VPC can be utilized.</w:t>
      </w:r>
    </w:p>
    <w:p>
      <w:pPr>
        <w:pStyle w:val="Heading2"/>
        <w:jc w:val="left"/>
        <w:spacing w:before="240" w:after="80"/>
      </w:pPr>
      <w:r>
        <w:rPr>
          <w:b/>
          <w:color w:val="0284c7"/>
          <w:sz w:val="28"/>
        </w:rPr>
        <w:t xml:space="preserve">4.5. Audio Bridge Telemetry &amp; Whisper AI (Optional)</w:t>
      </w:r>
    </w:p>
    <w:p>
      <w:pPr>
        <w:pStyle w:val="Normal"/>
        <w:jc w:val="left"/>
        <w:spacing w:before="100" w:after="100"/>
      </w:pPr>
      <w:r>
        <w:t xml:space="preserve">For automated transcription of live Microsoft Teams bridge meetings into incident transcripts (`IncidentTranscript`):</w:t>
      </w:r>
    </w:p>
    <w:p>
      <w:pPr>
        <w:pStyle w:val="Normal"/>
        <w:jc w:val="left"/>
        <w:spacing w:before="40" w:after="40"/>
      </w:pPr>
      <w:r>
        <w:rPr>
          <w:b/>
          <w:color w:val="0284c7"/>
        </w:rPr>
        <w:t xml:space="preserve">•  </w:t>
      </w:r>
      <w:r>
        <w:rPr>
          <w:b/>
          <w:color w:val="1e293b"/>
        </w:rPr>
        <w:t xml:space="preserve">API Option: </w:t>
      </w:r>
      <w:r>
        <w:rPr>
          <w:color w:val="334155"/>
        </w:rPr>
        <w:t xml:space="preserve">OpenAI Whisper API (`OPENAI_API_KEY`).</w:t>
      </w:r>
    </w:p>
    <w:p>
      <w:pPr>
        <w:pStyle w:val="Normal"/>
        <w:jc w:val="left"/>
        <w:spacing w:before="40" w:after="40"/>
      </w:pPr>
      <w:r>
        <w:rPr>
          <w:b/>
          <w:color w:val="0284c7"/>
        </w:rPr>
        <w:t xml:space="preserve">•  </w:t>
      </w:r>
      <w:r>
        <w:rPr>
          <w:b/>
          <w:color w:val="1e293b"/>
        </w:rPr>
        <w:t xml:space="preserve">Self-Hosted Option: </w:t>
      </w:r>
      <w:r>
        <w:rPr>
          <w:color w:val="334155"/>
        </w:rPr>
        <w:t xml:space="preserve">Open-source `faster-whisper` container or `whisper.cpp` running on private infrastructure with CPU/GPU.</w:t>
      </w:r>
    </w:p>
    <w:p>
      <w:pPr>
        <w:pStyle w:val="Heading1"/>
        <w:jc w:val="left"/>
        <w:spacing w:before="360" w:after="120"/>
      </w:pPr>
      <w:r>
        <w:rPr>
          <w:b/>
          <w:color w:val="0f172a"/>
          <w:sz w:val="36"/>
        </w:rPr>
        <w:t xml:space="preserve">5. Complete Environment Variables Configuration Matrix</w:t>
      </w:r>
    </w:p>
    <w:p>
      <w:pPr>
        <w:pStyle w:val="Normal"/>
        <w:jc w:val="left"/>
        <w:spacing w:before="100" w:after="100"/>
      </w:pPr>
      <w:r>
        <w:t xml:space="preserve">The table below details all environment variables required in `.env.production`:</w:t>
      </w:r>
    </w:p>
    <w:tbl>
      <w:tblPr>
        <w:tblW w:w="9600" w:type="dxa"/>
        <w:tblBorders>
          <w:top w:val="single" w:sz="6" w:space="0" w:color="cbd5e1"/>
          <w:left w:val="none"/>
          <w:bottom w:val="single" w:sz="12" w:space="0" w:color="94a3b8"/>
          <w:right w:val="none"/>
          <w:insideH w:val="single" w:sz="4" w:space="0" w:color="e2e8f0"/>
          <w:insideV w:val="none"/>
        </w:tblBorders>
        <w:tblCellMar>
          <w:top w:w="100" w:type="dxa"/>
          <w:left w:w="140" w:type="dxa"/>
          <w:bottom w:w="100" w:type="dxa"/>
          <w:right w:w="140" w:type="dxa"/>
        </w:tblCellMar>
      </w:tblPr>
      <w:tr>
        <w:trPr>
          <w:tblHeader/>
        </w:trPr>
        <w:tc>
          <w:tcPr>
            <w:tcW w:w="2400" w:type="dxa"/>
            <w:shd w:val="clear" w:color="auto" w:fill="1e293b"/>
          </w:tcPr>
          <w:p>
            <w:pPr>
              <w:spacing w:before="120" w:after="120"/>
              <w:jc w:val="left"/>
            </w:pPr>
            <w:r>
              <w:rPr>
                <w:b/>
                <w:color w:val="ffffff"/>
                <w:sz w:val="20"/>
              </w:rPr>
              <w:t xml:space="preserve">Variable Name</w:t>
            </w:r>
          </w:p>
        </w:tc>
        <w:tc>
          <w:tcPr>
            <w:tcW w:w="1200" w:type="dxa"/>
            <w:shd w:val="clear" w:color="auto" w:fill="1e293b"/>
          </w:tcPr>
          <w:p>
            <w:pPr>
              <w:spacing w:before="120" w:after="120"/>
              <w:jc w:val="left"/>
            </w:pPr>
            <w:r>
              <w:rPr>
                <w:b/>
                <w:color w:val="ffffff"/>
                <w:sz w:val="20"/>
              </w:rPr>
              <w:t xml:space="preserve">Required?</w:t>
            </w:r>
          </w:p>
        </w:tc>
        <w:tc>
          <w:tcPr>
            <w:tcW w:w="3600" w:type="dxa"/>
            <w:shd w:val="clear" w:color="auto" w:fill="1e293b"/>
          </w:tcPr>
          <w:p>
            <w:pPr>
              <w:spacing w:before="120" w:after="120"/>
              <w:jc w:val="left"/>
            </w:pPr>
            <w:r>
              <w:rPr>
                <w:b/>
                <w:color w:val="ffffff"/>
                <w:sz w:val="20"/>
              </w:rPr>
              <w:t xml:space="preserve">Purpose &amp; Description</w:t>
            </w:r>
          </w:p>
        </w:tc>
        <w:tc>
          <w:tcPr>
            <w:tcW w:w="2400" w:type="dxa"/>
            <w:shd w:val="clear" w:color="auto" w:fill="1e293b"/>
          </w:tcPr>
          <w:p>
            <w:pPr>
              <w:spacing w:before="120" w:after="120"/>
              <w:jc w:val="left"/>
            </w:pPr>
            <w:r>
              <w:rPr>
                <w:b/>
                <w:color w:val="ffffff"/>
                <w:sz w:val="20"/>
              </w:rPr>
              <w:t xml:space="preserve">Sample / Format</w:t>
            </w:r>
          </w:p>
        </w:tc>
      </w:tr>
      <w:tr>
        <w:tc>
          <w:tcPr>
            <w:tcW w:w="2400" w:type="dxa"/>
            <w:shd w:val="clear" w:color="auto" w:fill="ffffff"/>
          </w:tcPr>
          <w:p>
            <w:pPr>
              <w:spacing w:before="90" w:after="90"/>
              <w:jc w:val="left"/>
            </w:pPr>
            <w:r>
              <w:rPr>
                <w:sz w:val="20"/>
                <w:color w:val="334155"/>
              </w:rPr>
              <w:t xml:space="preserve">DATABASE_URL</w:t>
            </w:r>
          </w:p>
        </w:tc>
        <w:tc>
          <w:tcPr>
            <w:tcW w:w="1200" w:type="dxa"/>
            <w:shd w:val="clear" w:color="auto" w:fill="ffffff"/>
          </w:tcPr>
          <w:p>
            <w:pPr>
              <w:spacing w:before="90" w:after="90"/>
              <w:jc w:val="left"/>
            </w:pPr>
            <w:r>
              <w:rPr>
                <w:sz w:val="20"/>
                <w:color w:val="334155"/>
              </w:rPr>
              <w:t xml:space="preserve">Yes</w:t>
            </w:r>
          </w:p>
        </w:tc>
        <w:tc>
          <w:tcPr>
            <w:tcW w:w="3600" w:type="dxa"/>
            <w:shd w:val="clear" w:color="auto" w:fill="ffffff"/>
          </w:tcPr>
          <w:p>
            <w:pPr>
              <w:spacing w:before="90" w:after="90"/>
              <w:jc w:val="left"/>
            </w:pPr>
            <w:r>
              <w:rPr>
                <w:sz w:val="20"/>
                <w:color w:val="334155"/>
              </w:rPr>
              <w:t xml:space="preserve">PostgreSQL connection string with SSL mode</w:t>
            </w:r>
          </w:p>
        </w:tc>
        <w:tc>
          <w:tcPr>
            <w:tcW w:w="2400" w:type="dxa"/>
            <w:shd w:val="clear" w:color="auto" w:fill="ffffff"/>
          </w:tcPr>
          <w:p>
            <w:pPr>
              <w:spacing w:before="90" w:after="90"/>
              <w:jc w:val="left"/>
            </w:pPr>
            <w:r>
              <w:rPr>
                <w:sz w:val="20"/>
                <w:color w:val="334155"/>
              </w:rPr>
              <w:t xml:space="preserve">postgresql://user:pass@ep-host.neon.tech/neondb?sslmode=require</w:t>
            </w:r>
          </w:p>
        </w:tc>
      </w:tr>
      <w:tr>
        <w:tc>
          <w:tcPr>
            <w:tcW w:w="2400" w:type="dxa"/>
            <w:shd w:val="clear" w:color="auto" w:fill="f8fafc"/>
          </w:tcPr>
          <w:p>
            <w:pPr>
              <w:spacing w:before="90" w:after="90"/>
              <w:jc w:val="left"/>
            </w:pPr>
            <w:r>
              <w:rPr>
                <w:sz w:val="20"/>
                <w:color w:val="334155"/>
              </w:rPr>
              <w:t xml:space="preserve">JWT_SECRET</w:t>
            </w:r>
          </w:p>
        </w:tc>
        <w:tc>
          <w:tcPr>
            <w:tcW w:w="1200" w:type="dxa"/>
            <w:shd w:val="clear" w:color="auto" w:fill="f8fafc"/>
          </w:tcPr>
          <w:p>
            <w:pPr>
              <w:spacing w:before="90" w:after="90"/>
              <w:jc w:val="left"/>
            </w:pPr>
            <w:r>
              <w:rPr>
                <w:sz w:val="20"/>
                <w:color w:val="334155"/>
              </w:rPr>
              <w:t xml:space="preserve">Yes</w:t>
            </w:r>
          </w:p>
        </w:tc>
        <w:tc>
          <w:tcPr>
            <w:tcW w:w="3600" w:type="dxa"/>
            <w:shd w:val="clear" w:color="auto" w:fill="f8fafc"/>
          </w:tcPr>
          <w:p>
            <w:pPr>
              <w:spacing w:before="90" w:after="90"/>
              <w:jc w:val="left"/>
            </w:pPr>
            <w:r>
              <w:rPr>
                <w:sz w:val="20"/>
                <w:color w:val="334155"/>
              </w:rPr>
              <w:t xml:space="preserve">64+ character secret for signing user session JWT cookies</w:t>
            </w:r>
          </w:p>
        </w:tc>
        <w:tc>
          <w:tcPr>
            <w:tcW w:w="2400" w:type="dxa"/>
            <w:shd w:val="clear" w:color="auto" w:fill="f8fafc"/>
          </w:tcPr>
          <w:p>
            <w:pPr>
              <w:spacing w:before="90" w:after="90"/>
              <w:jc w:val="left"/>
            </w:pPr>
            <w:r>
              <w:rPr>
                <w:sz w:val="20"/>
                <w:color w:val="334155"/>
              </w:rPr>
              <w:t xml:space="preserve">openssl rand -hex 32 string</w:t>
            </w:r>
          </w:p>
        </w:tc>
      </w:tr>
      <w:tr>
        <w:tc>
          <w:tcPr>
            <w:tcW w:w="2400" w:type="dxa"/>
            <w:shd w:val="clear" w:color="auto" w:fill="ffffff"/>
          </w:tcPr>
          <w:p>
            <w:pPr>
              <w:spacing w:before="90" w:after="90"/>
              <w:jc w:val="left"/>
            </w:pPr>
            <w:r>
              <w:rPr>
                <w:sz w:val="20"/>
                <w:color w:val="334155"/>
              </w:rPr>
              <w:t xml:space="preserve">NEXT_PUBLIC_APP_URL</w:t>
            </w:r>
          </w:p>
        </w:tc>
        <w:tc>
          <w:tcPr>
            <w:tcW w:w="1200" w:type="dxa"/>
            <w:shd w:val="clear" w:color="auto" w:fill="ffffff"/>
          </w:tcPr>
          <w:p>
            <w:pPr>
              <w:spacing w:before="90" w:after="90"/>
              <w:jc w:val="left"/>
            </w:pPr>
            <w:r>
              <w:rPr>
                <w:sz w:val="20"/>
                <w:color w:val="334155"/>
              </w:rPr>
              <w:t xml:space="preserve">Yes</w:t>
            </w:r>
          </w:p>
        </w:tc>
        <w:tc>
          <w:tcPr>
            <w:tcW w:w="3600" w:type="dxa"/>
            <w:shd w:val="clear" w:color="auto" w:fill="ffffff"/>
          </w:tcPr>
          <w:p>
            <w:pPr>
              <w:spacing w:before="90" w:after="90"/>
              <w:jc w:val="left"/>
            </w:pPr>
            <w:r>
              <w:rPr>
                <w:sz w:val="20"/>
                <w:color w:val="334155"/>
              </w:rPr>
              <w:t xml:space="preserve">Canonical public domain of the application</w:t>
            </w:r>
          </w:p>
        </w:tc>
        <w:tc>
          <w:tcPr>
            <w:tcW w:w="2400" w:type="dxa"/>
            <w:shd w:val="clear" w:color="auto" w:fill="ffffff"/>
          </w:tcPr>
          <w:p>
            <w:pPr>
              <w:spacing w:before="90" w:after="90"/>
              <w:jc w:val="left"/>
            </w:pPr>
            <w:r>
              <w:rPr>
                <w:sz w:val="20"/>
                <w:color w:val="334155"/>
              </w:rPr>
              <w:t xml:space="preserve">https://outage.company.com</w:t>
            </w:r>
          </w:p>
        </w:tc>
      </w:tr>
      <w:tr>
        <w:tc>
          <w:tcPr>
            <w:tcW w:w="2400" w:type="dxa"/>
            <w:shd w:val="clear" w:color="auto" w:fill="f8fafc"/>
          </w:tcPr>
          <w:p>
            <w:pPr>
              <w:spacing w:before="90" w:after="90"/>
              <w:jc w:val="left"/>
            </w:pPr>
            <w:r>
              <w:rPr>
                <w:sz w:val="20"/>
                <w:color w:val="334155"/>
              </w:rPr>
              <w:t xml:space="preserve">SERVICENOW_INSTANCE_URL</w:t>
            </w:r>
          </w:p>
        </w:tc>
        <w:tc>
          <w:tcPr>
            <w:tcW w:w="1200" w:type="dxa"/>
            <w:shd w:val="clear" w:color="auto" w:fill="f8fafc"/>
          </w:tcPr>
          <w:p>
            <w:pPr>
              <w:spacing w:before="90" w:after="90"/>
              <w:jc w:val="left"/>
            </w:pPr>
            <w:r>
              <w:rPr>
                <w:sz w:val="20"/>
                <w:color w:val="334155"/>
              </w:rPr>
              <w:t xml:space="preserve">Yes</w:t>
            </w:r>
          </w:p>
        </w:tc>
        <w:tc>
          <w:tcPr>
            <w:tcW w:w="3600" w:type="dxa"/>
            <w:shd w:val="clear" w:color="auto" w:fill="f8fafc"/>
          </w:tcPr>
          <w:p>
            <w:pPr>
              <w:spacing w:before="90" w:after="90"/>
              <w:jc w:val="left"/>
            </w:pPr>
            <w:r>
              <w:rPr>
                <w:sz w:val="20"/>
                <w:color w:val="334155"/>
              </w:rPr>
              <w:t xml:space="preserve">Target ServiceNow instance base URL</w:t>
            </w:r>
          </w:p>
        </w:tc>
        <w:tc>
          <w:tcPr>
            <w:tcW w:w="2400" w:type="dxa"/>
            <w:shd w:val="clear" w:color="auto" w:fill="f8fafc"/>
          </w:tcPr>
          <w:p>
            <w:pPr>
              <w:spacing w:before="90" w:after="90"/>
              <w:jc w:val="left"/>
            </w:pPr>
            <w:r>
              <w:rPr>
                <w:sz w:val="20"/>
                <w:color w:val="334155"/>
              </w:rPr>
              <w:t xml:space="preserve">https://company.service-now.com</w:t>
            </w:r>
          </w:p>
        </w:tc>
      </w:tr>
      <w:tr>
        <w:tc>
          <w:tcPr>
            <w:tcW w:w="2400" w:type="dxa"/>
            <w:shd w:val="clear" w:color="auto" w:fill="ffffff"/>
          </w:tcPr>
          <w:p>
            <w:pPr>
              <w:spacing w:before="90" w:after="90"/>
              <w:jc w:val="left"/>
            </w:pPr>
            <w:r>
              <w:rPr>
                <w:sz w:val="20"/>
                <w:color w:val="334155"/>
              </w:rPr>
              <w:t xml:space="preserve">SERVICENOW_USERNAME</w:t>
            </w:r>
          </w:p>
        </w:tc>
        <w:tc>
          <w:tcPr>
            <w:tcW w:w="1200" w:type="dxa"/>
            <w:shd w:val="clear" w:color="auto" w:fill="ffffff"/>
          </w:tcPr>
          <w:p>
            <w:pPr>
              <w:spacing w:before="90" w:after="90"/>
              <w:jc w:val="left"/>
            </w:pPr>
            <w:r>
              <w:rPr>
                <w:sz w:val="20"/>
                <w:color w:val="334155"/>
              </w:rPr>
              <w:t xml:space="preserve">Yes</w:t>
            </w:r>
          </w:p>
        </w:tc>
        <w:tc>
          <w:tcPr>
            <w:tcW w:w="3600" w:type="dxa"/>
            <w:shd w:val="clear" w:color="auto" w:fill="ffffff"/>
          </w:tcPr>
          <w:p>
            <w:pPr>
              <w:spacing w:before="90" w:after="90"/>
              <w:jc w:val="left"/>
            </w:pPr>
            <w:r>
              <w:rPr>
                <w:sz w:val="20"/>
                <w:color w:val="334155"/>
              </w:rPr>
              <w:t xml:space="preserve">ServiceNow integration user account</w:t>
            </w:r>
          </w:p>
        </w:tc>
        <w:tc>
          <w:tcPr>
            <w:tcW w:w="2400" w:type="dxa"/>
            <w:shd w:val="clear" w:color="auto" w:fill="ffffff"/>
          </w:tcPr>
          <w:p>
            <w:pPr>
              <w:spacing w:before="90" w:after="90"/>
              <w:jc w:val="left"/>
            </w:pPr>
            <w:r>
              <w:rPr>
                <w:sz w:val="20"/>
                <w:color w:val="334155"/>
              </w:rPr>
              <w:t xml:space="preserve">svc_cim_centre</w:t>
            </w:r>
          </w:p>
        </w:tc>
      </w:tr>
      <w:tr>
        <w:tc>
          <w:tcPr>
            <w:tcW w:w="2400" w:type="dxa"/>
            <w:shd w:val="clear" w:color="auto" w:fill="f8fafc"/>
          </w:tcPr>
          <w:p>
            <w:pPr>
              <w:spacing w:before="90" w:after="90"/>
              <w:jc w:val="left"/>
            </w:pPr>
            <w:r>
              <w:rPr>
                <w:sz w:val="20"/>
                <w:color w:val="334155"/>
              </w:rPr>
              <w:t xml:space="preserve">SERVICENOW_PASSWORD</w:t>
            </w:r>
          </w:p>
        </w:tc>
        <w:tc>
          <w:tcPr>
            <w:tcW w:w="1200" w:type="dxa"/>
            <w:shd w:val="clear" w:color="auto" w:fill="f8fafc"/>
          </w:tcPr>
          <w:p>
            <w:pPr>
              <w:spacing w:before="90" w:after="90"/>
              <w:jc w:val="left"/>
            </w:pPr>
            <w:r>
              <w:rPr>
                <w:sz w:val="20"/>
                <w:color w:val="334155"/>
              </w:rPr>
              <w:t xml:space="preserve">Yes</w:t>
            </w:r>
          </w:p>
        </w:tc>
        <w:tc>
          <w:tcPr>
            <w:tcW w:w="3600" w:type="dxa"/>
            <w:shd w:val="clear" w:color="auto" w:fill="f8fafc"/>
          </w:tcPr>
          <w:p>
            <w:pPr>
              <w:spacing w:before="90" w:after="90"/>
              <w:jc w:val="left"/>
            </w:pPr>
            <w:r>
              <w:rPr>
                <w:sz w:val="20"/>
                <w:color w:val="334155"/>
              </w:rPr>
              <w:t xml:space="preserve">ServiceNow integration user password</w:t>
            </w:r>
          </w:p>
        </w:tc>
        <w:tc>
          <w:tcPr>
            <w:tcW w:w="2400" w:type="dxa"/>
            <w:shd w:val="clear" w:color="auto" w:fill="f8fafc"/>
          </w:tcPr>
          <w:p>
            <w:pPr>
              <w:spacing w:before="90" w:after="90"/>
              <w:jc w:val="left"/>
            </w:pPr>
            <w:r>
              <w:rPr>
                <w:sz w:val="20"/>
                <w:color w:val="334155"/>
              </w:rPr>
              <w:t xml:space="preserve">SecureVaultPassword123!</w:t>
            </w:r>
          </w:p>
        </w:tc>
      </w:tr>
      <w:tr>
        <w:tc>
          <w:tcPr>
            <w:tcW w:w="2400" w:type="dxa"/>
            <w:shd w:val="clear" w:color="auto" w:fill="ffffff"/>
          </w:tcPr>
          <w:p>
            <w:pPr>
              <w:spacing w:before="90" w:after="90"/>
              <w:jc w:val="left"/>
            </w:pPr>
            <w:r>
              <w:rPr>
                <w:sz w:val="20"/>
                <w:color w:val="334155"/>
              </w:rPr>
              <w:t xml:space="preserve">AZURE_AD_CLIENT_ID</w:t>
            </w:r>
          </w:p>
        </w:tc>
        <w:tc>
          <w:tcPr>
            <w:tcW w:w="1200" w:type="dxa"/>
            <w:shd w:val="clear" w:color="auto" w:fill="ffffff"/>
          </w:tcPr>
          <w:p>
            <w:pPr>
              <w:spacing w:before="90" w:after="90"/>
              <w:jc w:val="left"/>
            </w:pPr>
            <w:r>
              <w:rPr>
                <w:sz w:val="20"/>
                <w:color w:val="334155"/>
              </w:rPr>
              <w:t xml:space="preserve">Optional</w:t>
            </w:r>
          </w:p>
        </w:tc>
        <w:tc>
          <w:tcPr>
            <w:tcW w:w="3600" w:type="dxa"/>
            <w:shd w:val="clear" w:color="auto" w:fill="ffffff"/>
          </w:tcPr>
          <w:p>
            <w:pPr>
              <w:spacing w:before="90" w:after="90"/>
              <w:jc w:val="left"/>
            </w:pPr>
            <w:r>
              <w:rPr>
                <w:sz w:val="20"/>
                <w:color w:val="334155"/>
              </w:rPr>
              <w:t xml:space="preserve">Entra ID App Registration Client ID for SSO</w:t>
            </w:r>
          </w:p>
        </w:tc>
        <w:tc>
          <w:tcPr>
            <w:tcW w:w="2400" w:type="dxa"/>
            <w:shd w:val="clear" w:color="auto" w:fill="ffffff"/>
          </w:tcPr>
          <w:p>
            <w:pPr>
              <w:spacing w:before="90" w:after="90"/>
              <w:jc w:val="left"/>
            </w:pPr>
            <w:r>
              <w:rPr>
                <w:sz w:val="20"/>
                <w:color w:val="334155"/>
              </w:rPr>
              <w:t xml:space="preserve">00000000-0000-0000-0000-000000000000</w:t>
            </w:r>
          </w:p>
        </w:tc>
      </w:tr>
      <w:tr>
        <w:tc>
          <w:tcPr>
            <w:tcW w:w="2400" w:type="dxa"/>
            <w:shd w:val="clear" w:color="auto" w:fill="f8fafc"/>
          </w:tcPr>
          <w:p>
            <w:pPr>
              <w:spacing w:before="90" w:after="90"/>
              <w:jc w:val="left"/>
            </w:pPr>
            <w:r>
              <w:rPr>
                <w:sz w:val="20"/>
                <w:color w:val="334155"/>
              </w:rPr>
              <w:t xml:space="preserve">AZURE_AD_CLIENT_SECRET</w:t>
            </w:r>
          </w:p>
        </w:tc>
        <w:tc>
          <w:tcPr>
            <w:tcW w:w="1200" w:type="dxa"/>
            <w:shd w:val="clear" w:color="auto" w:fill="f8fafc"/>
          </w:tcPr>
          <w:p>
            <w:pPr>
              <w:spacing w:before="90" w:after="90"/>
              <w:jc w:val="left"/>
            </w:pPr>
            <w:r>
              <w:rPr>
                <w:sz w:val="20"/>
                <w:color w:val="334155"/>
              </w:rPr>
              <w:t xml:space="preserve">Optional</w:t>
            </w:r>
          </w:p>
        </w:tc>
        <w:tc>
          <w:tcPr>
            <w:tcW w:w="3600" w:type="dxa"/>
            <w:shd w:val="clear" w:color="auto" w:fill="f8fafc"/>
          </w:tcPr>
          <w:p>
            <w:pPr>
              <w:spacing w:before="90" w:after="90"/>
              <w:jc w:val="left"/>
            </w:pPr>
            <w:r>
              <w:rPr>
                <w:sz w:val="20"/>
                <w:color w:val="334155"/>
              </w:rPr>
              <w:t xml:space="preserve">Entra ID Client Secret value</w:t>
            </w:r>
          </w:p>
        </w:tc>
        <w:tc>
          <w:tcPr>
            <w:tcW w:w="2400" w:type="dxa"/>
            <w:shd w:val="clear" w:color="auto" w:fill="f8fafc"/>
          </w:tcPr>
          <w:p>
            <w:pPr>
              <w:spacing w:before="90" w:after="90"/>
              <w:jc w:val="left"/>
            </w:pPr>
            <w:r>
              <w:rPr>
                <w:sz w:val="20"/>
                <w:color w:val="334155"/>
              </w:rPr>
              <w:t xml:space="preserve">abc12~XYZ...</w:t>
            </w:r>
          </w:p>
        </w:tc>
      </w:tr>
      <w:tr>
        <w:tc>
          <w:tcPr>
            <w:tcW w:w="2400" w:type="dxa"/>
            <w:shd w:val="clear" w:color="auto" w:fill="ffffff"/>
          </w:tcPr>
          <w:p>
            <w:pPr>
              <w:spacing w:before="90" w:after="90"/>
              <w:jc w:val="left"/>
            </w:pPr>
            <w:r>
              <w:rPr>
                <w:sz w:val="20"/>
                <w:color w:val="334155"/>
              </w:rPr>
              <w:t xml:space="preserve">AZURE_AD_TENANT_ID</w:t>
            </w:r>
          </w:p>
        </w:tc>
        <w:tc>
          <w:tcPr>
            <w:tcW w:w="1200" w:type="dxa"/>
            <w:shd w:val="clear" w:color="auto" w:fill="ffffff"/>
          </w:tcPr>
          <w:p>
            <w:pPr>
              <w:spacing w:before="90" w:after="90"/>
              <w:jc w:val="left"/>
            </w:pPr>
            <w:r>
              <w:rPr>
                <w:sz w:val="20"/>
                <w:color w:val="334155"/>
              </w:rPr>
              <w:t xml:space="preserve">Optional</w:t>
            </w:r>
          </w:p>
        </w:tc>
        <w:tc>
          <w:tcPr>
            <w:tcW w:w="3600" w:type="dxa"/>
            <w:shd w:val="clear" w:color="auto" w:fill="ffffff"/>
          </w:tcPr>
          <w:p>
            <w:pPr>
              <w:spacing w:before="90" w:after="90"/>
              <w:jc w:val="left"/>
            </w:pPr>
            <w:r>
              <w:rPr>
                <w:sz w:val="20"/>
                <w:color w:val="334155"/>
              </w:rPr>
              <w:t xml:space="preserve">Entra ID Directory Tenant ID</w:t>
            </w:r>
          </w:p>
        </w:tc>
        <w:tc>
          <w:tcPr>
            <w:tcW w:w="2400" w:type="dxa"/>
            <w:shd w:val="clear" w:color="auto" w:fill="ffffff"/>
          </w:tcPr>
          <w:p>
            <w:pPr>
              <w:spacing w:before="90" w:after="90"/>
              <w:jc w:val="left"/>
            </w:pPr>
            <w:r>
              <w:rPr>
                <w:sz w:val="20"/>
                <w:color w:val="334155"/>
              </w:rPr>
              <w:t xml:space="preserve">11111111-1111-1111-1111-111111111111</w:t>
            </w:r>
          </w:p>
        </w:tc>
      </w:tr>
      <w:tr>
        <w:tc>
          <w:tcPr>
            <w:tcW w:w="2400" w:type="dxa"/>
            <w:shd w:val="clear" w:color="auto" w:fill="f8fafc"/>
          </w:tcPr>
          <w:p>
            <w:pPr>
              <w:spacing w:before="90" w:after="90"/>
              <w:jc w:val="left"/>
            </w:pPr>
            <w:r>
              <w:rPr>
                <w:sz w:val="20"/>
                <w:color w:val="334155"/>
              </w:rPr>
              <w:t xml:space="preserve">GEMINI_API_KEY</w:t>
            </w:r>
          </w:p>
        </w:tc>
        <w:tc>
          <w:tcPr>
            <w:tcW w:w="1200" w:type="dxa"/>
            <w:shd w:val="clear" w:color="auto" w:fill="f8fafc"/>
          </w:tcPr>
          <w:p>
            <w:pPr>
              <w:spacing w:before="90" w:after="90"/>
              <w:jc w:val="left"/>
            </w:pPr>
            <w:r>
              <w:rPr>
                <w:sz w:val="20"/>
                <w:color w:val="334155"/>
              </w:rPr>
              <w:t xml:space="preserve">Yes</w:t>
            </w:r>
          </w:p>
        </w:tc>
        <w:tc>
          <w:tcPr>
            <w:tcW w:w="3600" w:type="dxa"/>
            <w:shd w:val="clear" w:color="auto" w:fill="f8fafc"/>
          </w:tcPr>
          <w:p>
            <w:pPr>
              <w:spacing w:before="90" w:after="90"/>
              <w:jc w:val="left"/>
            </w:pPr>
            <w:r>
              <w:rPr>
                <w:sz w:val="20"/>
                <w:color w:val="334155"/>
              </w:rPr>
              <w:t xml:space="preserve">Google Gemini AI API Key for analysis &amp; solutions</w:t>
            </w:r>
          </w:p>
        </w:tc>
        <w:tc>
          <w:tcPr>
            <w:tcW w:w="2400" w:type="dxa"/>
            <w:shd w:val="clear" w:color="auto" w:fill="f8fafc"/>
          </w:tcPr>
          <w:p>
            <w:pPr>
              <w:spacing w:before="90" w:after="90"/>
              <w:jc w:val="left"/>
            </w:pPr>
            <w:r>
              <w:rPr>
                <w:sz w:val="20"/>
                <w:color w:val="334155"/>
              </w:rPr>
              <w:t xml:space="preserve">AIzaSy...</w:t>
            </w:r>
          </w:p>
        </w:tc>
      </w:tr>
      <w:tr>
        <w:tc>
          <w:tcPr>
            <w:tcW w:w="2400" w:type="dxa"/>
            <w:shd w:val="clear" w:color="auto" w:fill="ffffff"/>
          </w:tcPr>
          <w:p>
            <w:pPr>
              <w:spacing w:before="90" w:after="90"/>
              <w:jc w:val="left"/>
            </w:pPr>
            <w:r>
              <w:rPr>
                <w:sz w:val="20"/>
                <w:color w:val="334155"/>
              </w:rPr>
              <w:t xml:space="preserve">SMTP_HOST</w:t>
            </w:r>
          </w:p>
        </w:tc>
        <w:tc>
          <w:tcPr>
            <w:tcW w:w="1200" w:type="dxa"/>
            <w:shd w:val="clear" w:color="auto" w:fill="ffffff"/>
          </w:tcPr>
          <w:p>
            <w:pPr>
              <w:spacing w:before="90" w:after="90"/>
              <w:jc w:val="left"/>
            </w:pPr>
            <w:r>
              <w:rPr>
                <w:sz w:val="20"/>
                <w:color w:val="334155"/>
              </w:rPr>
              <w:t xml:space="preserve">Conditional</w:t>
            </w:r>
          </w:p>
        </w:tc>
        <w:tc>
          <w:tcPr>
            <w:tcW w:w="3600" w:type="dxa"/>
            <w:shd w:val="clear" w:color="auto" w:fill="ffffff"/>
          </w:tcPr>
          <w:p>
            <w:pPr>
              <w:spacing w:before="90" w:after="90"/>
              <w:jc w:val="left"/>
            </w:pPr>
            <w:r>
              <w:rPr>
                <w:sz w:val="20"/>
                <w:color w:val="334155"/>
              </w:rPr>
              <w:t xml:space="preserve">SMTP server if Microsoft Graph mail is not used</w:t>
            </w:r>
          </w:p>
        </w:tc>
        <w:tc>
          <w:tcPr>
            <w:tcW w:w="2400" w:type="dxa"/>
            <w:shd w:val="clear" w:color="auto" w:fill="ffffff"/>
          </w:tcPr>
          <w:p>
            <w:pPr>
              <w:spacing w:before="90" w:after="90"/>
              <w:jc w:val="left"/>
            </w:pPr>
            <w:r>
              <w:rPr>
                <w:sz w:val="20"/>
                <w:color w:val="334155"/>
              </w:rPr>
              <w:t xml:space="preserve">smtp.office365.com</w:t>
            </w:r>
          </w:p>
        </w:tc>
      </w:tr>
      <w:tr>
        <w:tc>
          <w:tcPr>
            <w:tcW w:w="2400" w:type="dxa"/>
            <w:shd w:val="clear" w:color="auto" w:fill="f8fafc"/>
          </w:tcPr>
          <w:p>
            <w:pPr>
              <w:spacing w:before="90" w:after="90"/>
              <w:jc w:val="left"/>
            </w:pPr>
            <w:r>
              <w:rPr>
                <w:sz w:val="20"/>
                <w:color w:val="334155"/>
              </w:rPr>
              <w:t xml:space="preserve">SMTP_PORT</w:t>
            </w:r>
          </w:p>
        </w:tc>
        <w:tc>
          <w:tcPr>
            <w:tcW w:w="1200" w:type="dxa"/>
            <w:shd w:val="clear" w:color="auto" w:fill="f8fafc"/>
          </w:tcPr>
          <w:p>
            <w:pPr>
              <w:spacing w:before="90" w:after="90"/>
              <w:jc w:val="left"/>
            </w:pPr>
            <w:r>
              <w:rPr>
                <w:sz w:val="20"/>
                <w:color w:val="334155"/>
              </w:rPr>
              <w:t xml:space="preserve">Conditional</w:t>
            </w:r>
          </w:p>
        </w:tc>
        <w:tc>
          <w:tcPr>
            <w:tcW w:w="3600" w:type="dxa"/>
            <w:shd w:val="clear" w:color="auto" w:fill="f8fafc"/>
          </w:tcPr>
          <w:p>
            <w:pPr>
              <w:spacing w:before="90" w:after="90"/>
              <w:jc w:val="left"/>
            </w:pPr>
            <w:r>
              <w:rPr>
                <w:sz w:val="20"/>
                <w:color w:val="334155"/>
              </w:rPr>
              <w:t xml:space="preserve">SMTP port (587 or 465)</w:t>
            </w:r>
          </w:p>
        </w:tc>
        <w:tc>
          <w:tcPr>
            <w:tcW w:w="2400" w:type="dxa"/>
            <w:shd w:val="clear" w:color="auto" w:fill="f8fafc"/>
          </w:tcPr>
          <w:p>
            <w:pPr>
              <w:spacing w:before="90" w:after="90"/>
              <w:jc w:val="left"/>
            </w:pPr>
            <w:r>
              <w:rPr>
                <w:sz w:val="20"/>
                <w:color w:val="334155"/>
              </w:rPr>
              <w:t xml:space="preserve">587</w:t>
            </w:r>
          </w:p>
        </w:tc>
      </w:tr>
      <w:tr>
        <w:tc>
          <w:tcPr>
            <w:tcW w:w="2400" w:type="dxa"/>
            <w:shd w:val="clear" w:color="auto" w:fill="ffffff"/>
          </w:tcPr>
          <w:p>
            <w:pPr>
              <w:spacing w:before="90" w:after="90"/>
              <w:jc w:val="left"/>
            </w:pPr>
            <w:r>
              <w:rPr>
                <w:sz w:val="20"/>
                <w:color w:val="334155"/>
              </w:rPr>
              <w:t xml:space="preserve">SMTP_USER</w:t>
            </w:r>
          </w:p>
        </w:tc>
        <w:tc>
          <w:tcPr>
            <w:tcW w:w="1200" w:type="dxa"/>
            <w:shd w:val="clear" w:color="auto" w:fill="ffffff"/>
          </w:tcPr>
          <w:p>
            <w:pPr>
              <w:spacing w:before="90" w:after="90"/>
              <w:jc w:val="left"/>
            </w:pPr>
            <w:r>
              <w:rPr>
                <w:sz w:val="20"/>
                <w:color w:val="334155"/>
              </w:rPr>
              <w:t xml:space="preserve">Conditional</w:t>
            </w:r>
          </w:p>
        </w:tc>
        <w:tc>
          <w:tcPr>
            <w:tcW w:w="3600" w:type="dxa"/>
            <w:shd w:val="clear" w:color="auto" w:fill="ffffff"/>
          </w:tcPr>
          <w:p>
            <w:pPr>
              <w:spacing w:before="90" w:after="90"/>
              <w:jc w:val="left"/>
            </w:pPr>
            <w:r>
              <w:rPr>
                <w:sz w:val="20"/>
                <w:color w:val="334155"/>
              </w:rPr>
              <w:t xml:space="preserve">SMTP authentication user/email</w:t>
            </w:r>
          </w:p>
        </w:tc>
        <w:tc>
          <w:tcPr>
            <w:tcW w:w="2400" w:type="dxa"/>
            <w:shd w:val="clear" w:color="auto" w:fill="ffffff"/>
          </w:tcPr>
          <w:p>
            <w:pPr>
              <w:spacing w:before="90" w:after="90"/>
              <w:jc w:val="left"/>
            </w:pPr>
            <w:r>
              <w:rPr>
                <w:sz w:val="20"/>
                <w:color w:val="334155"/>
              </w:rPr>
              <w:t xml:space="preserve">cim-notifications@company.com</w:t>
            </w:r>
          </w:p>
        </w:tc>
      </w:tr>
      <w:tr>
        <w:tc>
          <w:tcPr>
            <w:tcW w:w="2400" w:type="dxa"/>
            <w:shd w:val="clear" w:color="auto" w:fill="f8fafc"/>
          </w:tcPr>
          <w:p>
            <w:pPr>
              <w:spacing w:before="90" w:after="90"/>
              <w:jc w:val="left"/>
            </w:pPr>
            <w:r>
              <w:rPr>
                <w:sz w:val="20"/>
                <w:color w:val="334155"/>
              </w:rPr>
              <w:t xml:space="preserve">SMTP_PASS</w:t>
            </w:r>
          </w:p>
        </w:tc>
        <w:tc>
          <w:tcPr>
            <w:tcW w:w="1200" w:type="dxa"/>
            <w:shd w:val="clear" w:color="auto" w:fill="f8fafc"/>
          </w:tcPr>
          <w:p>
            <w:pPr>
              <w:spacing w:before="90" w:after="90"/>
              <w:jc w:val="left"/>
            </w:pPr>
            <w:r>
              <w:rPr>
                <w:sz w:val="20"/>
                <w:color w:val="334155"/>
              </w:rPr>
              <w:t xml:space="preserve">Conditional</w:t>
            </w:r>
          </w:p>
        </w:tc>
        <w:tc>
          <w:tcPr>
            <w:tcW w:w="3600" w:type="dxa"/>
            <w:shd w:val="clear" w:color="auto" w:fill="f8fafc"/>
          </w:tcPr>
          <w:p>
            <w:pPr>
              <w:spacing w:before="90" w:after="90"/>
              <w:jc w:val="left"/>
            </w:pPr>
            <w:r>
              <w:rPr>
                <w:sz w:val="20"/>
                <w:color w:val="334155"/>
              </w:rPr>
              <w:t xml:space="preserve">SMTP password / application password</w:t>
            </w:r>
          </w:p>
        </w:tc>
        <w:tc>
          <w:tcPr>
            <w:tcW w:w="2400" w:type="dxa"/>
            <w:shd w:val="clear" w:color="auto" w:fill="f8fafc"/>
          </w:tcPr>
          <w:p>
            <w:pPr>
              <w:spacing w:before="90" w:after="90"/>
              <w:jc w:val="left"/>
            </w:pPr>
            <w:r>
              <w:rPr>
                <w:sz w:val="20"/>
                <w:color w:val="334155"/>
              </w:rPr>
              <w:t xml:space="preserve">AppPasswordHere</w:t>
            </w:r>
          </w:p>
        </w:tc>
      </w:tr>
      <w:tr>
        <w:tc>
          <w:tcPr>
            <w:tcW w:w="2400" w:type="dxa"/>
            <w:shd w:val="clear" w:color="auto" w:fill="ffffff"/>
          </w:tcPr>
          <w:p>
            <w:pPr>
              <w:spacing w:before="90" w:after="90"/>
              <w:jc w:val="left"/>
            </w:pPr>
            <w:r>
              <w:rPr>
                <w:sz w:val="20"/>
                <w:color w:val="334155"/>
              </w:rPr>
              <w:t xml:space="preserve">SMTP_FROM</w:t>
            </w:r>
          </w:p>
        </w:tc>
        <w:tc>
          <w:tcPr>
            <w:tcW w:w="1200" w:type="dxa"/>
            <w:shd w:val="clear" w:color="auto" w:fill="ffffff"/>
          </w:tcPr>
          <w:p>
            <w:pPr>
              <w:spacing w:before="90" w:after="90"/>
              <w:jc w:val="left"/>
            </w:pPr>
            <w:r>
              <w:rPr>
                <w:sz w:val="20"/>
                <w:color w:val="334155"/>
              </w:rPr>
              <w:t xml:space="preserve">Conditional</w:t>
            </w:r>
          </w:p>
        </w:tc>
        <w:tc>
          <w:tcPr>
            <w:tcW w:w="3600" w:type="dxa"/>
            <w:shd w:val="clear" w:color="auto" w:fill="ffffff"/>
          </w:tcPr>
          <w:p>
            <w:pPr>
              <w:spacing w:before="90" w:after="90"/>
              <w:jc w:val="left"/>
            </w:pPr>
            <w:r>
              <w:rPr>
                <w:sz w:val="20"/>
                <w:color w:val="334155"/>
              </w:rPr>
              <w:t xml:space="preserve">Outbound email sender header</w:t>
            </w:r>
          </w:p>
        </w:tc>
        <w:tc>
          <w:tcPr>
            <w:tcW w:w="2400" w:type="dxa"/>
            <w:shd w:val="clear" w:color="auto" w:fill="ffffff"/>
          </w:tcPr>
          <w:p>
            <w:pPr>
              <w:spacing w:before="90" w:after="90"/>
              <w:jc w:val="left"/>
            </w:pPr>
            <w:r>
              <w:rPr>
                <w:sz w:val="20"/>
                <w:color w:val="334155"/>
              </w:rPr>
              <w:t xml:space="preserve">CIM Outage Centre &lt;no-reply@company.com&gt;</w:t>
            </w:r>
          </w:p>
        </w:tc>
      </w:tr>
      <w:tr>
        <w:tc>
          <w:tcPr>
            <w:tcW w:w="2400" w:type="dxa"/>
            <w:shd w:val="clear" w:color="auto" w:fill="f8fafc"/>
          </w:tcPr>
          <w:p>
            <w:pPr>
              <w:spacing w:before="90" w:after="90"/>
              <w:jc w:val="left"/>
            </w:pPr>
            <w:r>
              <w:rPr>
                <w:sz w:val="20"/>
                <w:color w:val="334155"/>
              </w:rPr>
              <w:t xml:space="preserve">NODE_ENV</w:t>
            </w:r>
          </w:p>
        </w:tc>
        <w:tc>
          <w:tcPr>
            <w:tcW w:w="1200" w:type="dxa"/>
            <w:shd w:val="clear" w:color="auto" w:fill="f8fafc"/>
          </w:tcPr>
          <w:p>
            <w:pPr>
              <w:spacing w:before="90" w:after="90"/>
              <w:jc w:val="left"/>
            </w:pPr>
            <w:r>
              <w:rPr>
                <w:sz w:val="20"/>
                <w:color w:val="334155"/>
              </w:rPr>
              <w:t xml:space="preserve">Yes</w:t>
            </w:r>
          </w:p>
        </w:tc>
        <w:tc>
          <w:tcPr>
            <w:tcW w:w="3600" w:type="dxa"/>
            <w:shd w:val="clear" w:color="auto" w:fill="f8fafc"/>
          </w:tcPr>
          <w:p>
            <w:pPr>
              <w:spacing w:before="90" w:after="90"/>
              <w:jc w:val="left"/>
            </w:pPr>
            <w:r>
              <w:rPr>
                <w:sz w:val="20"/>
                <w:color w:val="334155"/>
              </w:rPr>
              <w:t xml:space="preserve">Set environment runtime mode</w:t>
            </w:r>
          </w:p>
        </w:tc>
        <w:tc>
          <w:tcPr>
            <w:tcW w:w="2400" w:type="dxa"/>
            <w:shd w:val="clear" w:color="auto" w:fill="f8fafc"/>
          </w:tcPr>
          <w:p>
            <w:pPr>
              <w:spacing w:before="90" w:after="90"/>
              <w:jc w:val="left"/>
            </w:pPr>
            <w:r>
              <w:rPr>
                <w:sz w:val="20"/>
                <w:color w:val="334155"/>
              </w:rPr>
              <w:t xml:space="preserve">production</w:t>
            </w:r>
          </w:p>
        </w:tc>
      </w:tr>
    </w:tbl>
    <w:p>
      <w:pPr>
        <w:pStyle w:val="Normal"/>
        <w:jc w:val="left"/>
        <w:spacing w:before="80" w:after="80"/>
      </w:pPr>
      <w:r>
        <w:t xml:space="preserve"/>
      </w:r>
    </w:p>
    <w:p>
      <w:pPr>
        <w:pStyle w:val="Heading1"/>
        <w:jc w:val="left"/>
        <w:spacing w:before="360" w:after="120"/>
      </w:pPr>
      <w:r>
        <w:rPr>
          <w:b/>
          <w:color w:val="0f172a"/>
          <w:sz w:val="36"/>
        </w:rPr>
        <w:t xml:space="preserve">6. Comprehensive Pricing &amp; Cost Estimates</w:t>
      </w:r>
    </w:p>
    <w:p>
      <w:pPr>
        <w:pStyle w:val="Normal"/>
        <w:jc w:val="left"/>
        <w:spacing w:before="100" w:after="100"/>
      </w:pPr>
      <w:r>
        <w:t xml:space="preserve">The operational cost of the CIM Outage Centre is exceptionally low compared to proprietary commercial IT incident software (such as PagerDuty or BigPanda). Below are realistic monthly cost estimates across three deployment tiers:</w:t>
      </w:r>
    </w:p>
    <w:tbl>
      <w:tblPr>
        <w:tblW w:w="9600" w:type="dxa"/>
        <w:tblBorders>
          <w:top w:val="single" w:sz="6" w:space="0" w:color="cbd5e1"/>
          <w:left w:val="none"/>
          <w:bottom w:val="single" w:sz="12" w:space="0" w:color="94a3b8"/>
          <w:right w:val="none"/>
          <w:insideH w:val="single" w:sz="4" w:space="0" w:color="e2e8f0"/>
          <w:insideV w:val="none"/>
        </w:tblBorders>
        <w:tblCellMar>
          <w:top w:w="100" w:type="dxa"/>
          <w:left w:w="140" w:type="dxa"/>
          <w:bottom w:w="100" w:type="dxa"/>
          <w:right w:w="140" w:type="dxa"/>
        </w:tblCellMar>
      </w:tblPr>
      <w:tr>
        <w:trPr>
          <w:tblHeader/>
        </w:trPr>
        <w:tc>
          <w:tcPr>
            <w:tcW w:w="2200" w:type="dxa"/>
            <w:shd w:val="clear" w:color="auto" w:fill="1e293b"/>
          </w:tcPr>
          <w:p>
            <w:pPr>
              <w:spacing w:before="120" w:after="120"/>
              <w:jc w:val="left"/>
            </w:pPr>
            <w:r>
              <w:rPr>
                <w:b/>
                <w:color w:val="ffffff"/>
                <w:sz w:val="20"/>
              </w:rPr>
              <w:t xml:space="preserve">Deployment Tier</w:t>
            </w:r>
          </w:p>
        </w:tc>
        <w:tc>
          <w:tcPr>
            <w:tcW w:w="2600" w:type="dxa"/>
            <w:shd w:val="clear" w:color="auto" w:fill="1e293b"/>
          </w:tcPr>
          <w:p>
            <w:pPr>
              <w:spacing w:before="120" w:after="120"/>
              <w:jc w:val="left"/>
            </w:pPr>
            <w:r>
              <w:rPr>
                <w:b/>
                <w:color w:val="ffffff"/>
                <w:sz w:val="20"/>
              </w:rPr>
              <w:t xml:space="preserve">Target Workload</w:t>
            </w:r>
          </w:p>
        </w:tc>
        <w:tc>
          <w:tcPr>
            <w:tcW w:w="2000" w:type="dxa"/>
            <w:shd w:val="clear" w:color="auto" w:fill="1e293b"/>
          </w:tcPr>
          <w:p>
            <w:pPr>
              <w:spacing w:before="120" w:after="120"/>
              <w:jc w:val="left"/>
            </w:pPr>
            <w:r>
              <w:rPr>
                <w:b/>
                <w:color w:val="ffffff"/>
                <w:sz w:val="20"/>
              </w:rPr>
              <w:t xml:space="preserve">Estimated Monthly Cost</w:t>
            </w:r>
          </w:p>
        </w:tc>
        <w:tc>
          <w:tcPr>
            <w:tcW w:w="2800" w:type="dxa"/>
            <w:shd w:val="clear" w:color="auto" w:fill="1e293b"/>
          </w:tcPr>
          <w:p>
            <w:pPr>
              <w:spacing w:before="120" w:after="120"/>
              <w:jc w:val="left"/>
            </w:pPr>
            <w:r>
              <w:rPr>
                <w:b/>
                <w:color w:val="ffffff"/>
                <w:sz w:val="20"/>
              </w:rPr>
              <w:t xml:space="preserve">Key Infrastructure Included</w:t>
            </w:r>
          </w:p>
        </w:tc>
      </w:tr>
      <w:tr>
        <w:tc>
          <w:tcPr>
            <w:tcW w:w="2200" w:type="dxa"/>
            <w:shd w:val="clear" w:color="auto" w:fill="ffffff"/>
          </w:tcPr>
          <w:p>
            <w:pPr>
              <w:spacing w:before="90" w:after="90"/>
              <w:jc w:val="left"/>
            </w:pPr>
            <w:r>
              <w:rPr>
                <w:sz w:val="20"/>
                <w:color w:val="334155"/>
              </w:rPr>
              <w:t xml:space="preserve">Tier 1: Free / Evaluation</w:t>
            </w:r>
          </w:p>
        </w:tc>
        <w:tc>
          <w:tcPr>
            <w:tcW w:w="2600" w:type="dxa"/>
            <w:shd w:val="clear" w:color="auto" w:fill="ffffff"/>
          </w:tcPr>
          <w:p>
            <w:pPr>
              <w:spacing w:before="90" w:after="90"/>
              <w:jc w:val="left"/>
            </w:pPr>
            <w:r>
              <w:rPr>
                <w:sz w:val="20"/>
                <w:color w:val="334155"/>
              </w:rPr>
              <w:t xml:space="preserve">PoC, Staging, Dev (Up to 50 incidents/mo)</w:t>
            </w:r>
          </w:p>
        </w:tc>
        <w:tc>
          <w:tcPr>
            <w:tcW w:w="2000" w:type="dxa"/>
            <w:shd w:val="clear" w:color="auto" w:fill="ffffff"/>
          </w:tcPr>
          <w:p>
            <w:pPr>
              <w:spacing w:before="90" w:after="90"/>
              <w:jc w:val="left"/>
            </w:pPr>
            <w:r>
              <w:rPr>
                <w:sz w:val="20"/>
                <w:color w:val="334155"/>
              </w:rPr>
              <w:t xml:space="preserve">$0 / month</w:t>
            </w:r>
          </w:p>
        </w:tc>
        <w:tc>
          <w:tcPr>
            <w:tcW w:w="2800" w:type="dxa"/>
            <w:shd w:val="clear" w:color="auto" w:fill="ffffff"/>
          </w:tcPr>
          <w:p>
            <w:pPr>
              <w:spacing w:before="90" w:after="90"/>
              <w:jc w:val="left"/>
            </w:pPr>
            <w:r>
              <w:rPr>
                <w:sz w:val="20"/>
                <w:color w:val="334155"/>
              </w:rPr>
              <w:t xml:space="preserve">Neon Free Postgres (0.5 GB) + Vercel Hobby + Google AI Studio Free Tier</w:t>
            </w:r>
          </w:p>
        </w:tc>
      </w:tr>
      <w:tr>
        <w:tc>
          <w:tcPr>
            <w:tcW w:w="2200" w:type="dxa"/>
            <w:shd w:val="clear" w:color="auto" w:fill="f8fafc"/>
          </w:tcPr>
          <w:p>
            <w:pPr>
              <w:spacing w:before="90" w:after="90"/>
              <w:jc w:val="left"/>
            </w:pPr>
            <w:r>
              <w:rPr>
                <w:sz w:val="20"/>
                <w:color w:val="334155"/>
              </w:rPr>
              <w:t xml:space="preserve">Tier 2: Small to Mid-Enterprise</w:t>
            </w:r>
          </w:p>
        </w:tc>
        <w:tc>
          <w:tcPr>
            <w:tcW w:w="2600" w:type="dxa"/>
            <w:shd w:val="clear" w:color="auto" w:fill="f8fafc"/>
          </w:tcPr>
          <w:p>
            <w:pPr>
              <w:spacing w:before="90" w:after="90"/>
              <w:jc w:val="left"/>
            </w:pPr>
            <w:r>
              <w:rPr>
                <w:sz w:val="20"/>
                <w:color w:val="334155"/>
              </w:rPr>
              <w:t xml:space="preserve">Production (100–500 incidents/mo, 20 users)</w:t>
            </w:r>
          </w:p>
        </w:tc>
        <w:tc>
          <w:tcPr>
            <w:tcW w:w="2000" w:type="dxa"/>
            <w:shd w:val="clear" w:color="auto" w:fill="f8fafc"/>
          </w:tcPr>
          <w:p>
            <w:pPr>
              <w:spacing w:before="90" w:after="90"/>
              <w:jc w:val="left"/>
            </w:pPr>
            <w:r>
              <w:rPr>
                <w:sz w:val="20"/>
                <w:color w:val="334155"/>
              </w:rPr>
              <w:t xml:space="preserve">$45 – $110 / month</w:t>
            </w:r>
          </w:p>
        </w:tc>
        <w:tc>
          <w:tcPr>
            <w:tcW w:w="2800" w:type="dxa"/>
            <w:shd w:val="clear" w:color="auto" w:fill="f8fafc"/>
          </w:tcPr>
          <w:p>
            <w:pPr>
              <w:spacing w:before="90" w:after="90"/>
              <w:jc w:val="left"/>
            </w:pPr>
            <w:r>
              <w:rPr>
                <w:sz w:val="20"/>
                <w:color w:val="334155"/>
              </w:rPr>
              <w:t xml:space="preserve">Vercel Pro / ECS Fargate + Neon Launch ($19) + Gemini Flash ($10) + Domain ($1)</w:t>
            </w:r>
          </w:p>
        </w:tc>
      </w:tr>
      <w:tr>
        <w:tc>
          <w:tcPr>
            <w:tcW w:w="2200" w:type="dxa"/>
            <w:shd w:val="clear" w:color="auto" w:fill="ffffff"/>
          </w:tcPr>
          <w:p>
            <w:pPr>
              <w:spacing w:before="90" w:after="90"/>
              <w:jc w:val="left"/>
            </w:pPr>
            <w:r>
              <w:rPr>
                <w:sz w:val="20"/>
                <w:color w:val="334155"/>
              </w:rPr>
              <w:t xml:space="preserve">Tier 3: Large Enterprise HA</w:t>
            </w:r>
          </w:p>
        </w:tc>
        <w:tc>
          <w:tcPr>
            <w:tcW w:w="2600" w:type="dxa"/>
            <w:shd w:val="clear" w:color="auto" w:fill="ffffff"/>
          </w:tcPr>
          <w:p>
            <w:pPr>
              <w:spacing w:before="90" w:after="90"/>
              <w:jc w:val="left"/>
            </w:pPr>
            <w:r>
              <w:rPr>
                <w:sz w:val="20"/>
                <w:color w:val="334155"/>
              </w:rPr>
              <w:t xml:space="preserve">High Volume (1,000–5,000 incidents/mo, 100+ users)</w:t>
            </w:r>
          </w:p>
        </w:tc>
        <w:tc>
          <w:tcPr>
            <w:tcW w:w="2000" w:type="dxa"/>
            <w:shd w:val="clear" w:color="auto" w:fill="ffffff"/>
          </w:tcPr>
          <w:p>
            <w:pPr>
              <w:spacing w:before="90" w:after="90"/>
              <w:jc w:val="left"/>
            </w:pPr>
            <w:r>
              <w:rPr>
                <w:sz w:val="20"/>
                <w:color w:val="334155"/>
              </w:rPr>
              <w:t xml:space="preserve">$220 – $550 / month</w:t>
            </w:r>
          </w:p>
        </w:tc>
        <w:tc>
          <w:tcPr>
            <w:tcW w:w="2800" w:type="dxa"/>
            <w:shd w:val="clear" w:color="auto" w:fill="ffffff"/>
          </w:tcPr>
          <w:p>
            <w:pPr>
              <w:spacing w:before="90" w:after="90"/>
              <w:jc w:val="left"/>
            </w:pPr>
            <w:r>
              <w:rPr>
                <w:sz w:val="20"/>
                <w:color w:val="334155"/>
              </w:rPr>
              <w:t xml:space="preserve">Multi-AZ AWS ECS / Azure App Service + Aurora Postgres + Gemini 1.5 Pro + Whisper AI</w:t>
            </w:r>
          </w:p>
        </w:tc>
      </w:tr>
    </w:tbl>
    <w:p>
      <w:pPr>
        <w:pStyle w:val="Normal"/>
        <w:jc w:val="left"/>
        <w:spacing w:before="80" w:after="80"/>
      </w:pPr>
      <w:r>
        <w:t xml:space="preserve"/>
      </w:r>
    </w:p>
    <w:p>
      <w:pPr>
        <w:pStyle w:val="Heading2"/>
        <w:jc w:val="left"/>
        <w:spacing w:before="240" w:after="80"/>
      </w:pPr>
      <w:r>
        <w:rPr>
          <w:b/>
          <w:color w:val="0284c7"/>
          <w:sz w:val="28"/>
        </w:rPr>
        <w:t xml:space="preserve">6.1. Itemized Cost Breakdown by Component</w:t>
      </w:r>
    </w:p>
    <w:tbl>
      <w:tblPr>
        <w:tblW w:w="9600" w:type="dxa"/>
        <w:tblBorders>
          <w:top w:val="single" w:sz="6" w:space="0" w:color="cbd5e1"/>
          <w:left w:val="none"/>
          <w:bottom w:val="single" w:sz="12" w:space="0" w:color="94a3b8"/>
          <w:right w:val="none"/>
          <w:insideH w:val="single" w:sz="4" w:space="0" w:color="e2e8f0"/>
          <w:insideV w:val="none"/>
        </w:tblBorders>
        <w:tblCellMar>
          <w:top w:w="100" w:type="dxa"/>
          <w:left w:w="140" w:type="dxa"/>
          <w:bottom w:w="100" w:type="dxa"/>
          <w:right w:w="140" w:type="dxa"/>
        </w:tblCellMar>
      </w:tblPr>
      <w:tr>
        <w:trPr>
          <w:tblHeader/>
        </w:trPr>
        <w:tc>
          <w:tcPr>
            <w:tcW w:w="2600" w:type="dxa"/>
            <w:shd w:val="clear" w:color="auto" w:fill="1e293b"/>
          </w:tcPr>
          <w:p>
            <w:pPr>
              <w:spacing w:before="120" w:after="120"/>
              <w:jc w:val="left"/>
            </w:pPr>
            <w:r>
              <w:rPr>
                <w:b/>
                <w:color w:val="ffffff"/>
                <w:sz w:val="20"/>
              </w:rPr>
              <w:t xml:space="preserve">Component</w:t>
            </w:r>
          </w:p>
        </w:tc>
        <w:tc>
          <w:tcPr>
            <w:tcW w:w="2400" w:type="dxa"/>
            <w:shd w:val="clear" w:color="auto" w:fill="1e293b"/>
          </w:tcPr>
          <w:p>
            <w:pPr>
              <w:spacing w:before="120" w:after="120"/>
              <w:jc w:val="left"/>
            </w:pPr>
            <w:r>
              <w:rPr>
                <w:b/>
                <w:color w:val="ffffff"/>
                <w:sz w:val="20"/>
              </w:rPr>
              <w:t xml:space="preserve">Pricing Model</w:t>
            </w:r>
          </w:p>
        </w:tc>
        <w:tc>
          <w:tcPr>
            <w:tcW w:w="2600" w:type="dxa"/>
            <w:shd w:val="clear" w:color="auto" w:fill="1e293b"/>
          </w:tcPr>
          <w:p>
            <w:pPr>
              <w:spacing w:before="120" w:after="120"/>
              <w:jc w:val="left"/>
            </w:pPr>
            <w:r>
              <w:rPr>
                <w:b/>
                <w:color w:val="ffffff"/>
                <w:sz w:val="20"/>
              </w:rPr>
              <w:t xml:space="preserve">Unit Cost</w:t>
            </w:r>
          </w:p>
        </w:tc>
        <w:tc>
          <w:tcPr>
            <w:tcW w:w="2000" w:type="dxa"/>
            <w:shd w:val="clear" w:color="auto" w:fill="1e293b"/>
          </w:tcPr>
          <w:p>
            <w:pPr>
              <w:spacing w:before="120" w:after="120"/>
              <w:jc w:val="left"/>
            </w:pPr>
            <w:r>
              <w:rPr>
                <w:b/>
                <w:color w:val="ffffff"/>
                <w:sz w:val="20"/>
              </w:rPr>
              <w:t xml:space="preserve">Est. Monthly Spend (Mid Enterprise)</w:t>
            </w:r>
          </w:p>
        </w:tc>
      </w:tr>
      <w:tr>
        <w:tc>
          <w:tcPr>
            <w:tcW w:w="2600" w:type="dxa"/>
            <w:shd w:val="clear" w:color="auto" w:fill="ffffff"/>
          </w:tcPr>
          <w:p>
            <w:pPr>
              <w:spacing w:before="90" w:after="90"/>
              <w:jc w:val="left"/>
            </w:pPr>
            <w:r>
              <w:rPr>
                <w:sz w:val="20"/>
                <w:color w:val="334155"/>
              </w:rPr>
              <w:t xml:space="preserve">Compute: Vercel Pro</w:t>
            </w:r>
          </w:p>
        </w:tc>
        <w:tc>
          <w:tcPr>
            <w:tcW w:w="2400" w:type="dxa"/>
            <w:shd w:val="clear" w:color="auto" w:fill="ffffff"/>
          </w:tcPr>
          <w:p>
            <w:pPr>
              <w:spacing w:before="90" w:after="90"/>
              <w:jc w:val="left"/>
            </w:pPr>
            <w:r>
              <w:rPr>
                <w:sz w:val="20"/>
                <w:color w:val="334155"/>
              </w:rPr>
              <w:t xml:space="preserve">Per active team seat</w:t>
            </w:r>
          </w:p>
        </w:tc>
        <w:tc>
          <w:tcPr>
            <w:tcW w:w="2600" w:type="dxa"/>
            <w:shd w:val="clear" w:color="auto" w:fill="ffffff"/>
          </w:tcPr>
          <w:p>
            <w:pPr>
              <w:spacing w:before="90" w:after="90"/>
              <w:jc w:val="left"/>
            </w:pPr>
            <w:r>
              <w:rPr>
                <w:sz w:val="20"/>
                <w:color w:val="334155"/>
              </w:rPr>
              <w:t xml:space="preserve">$20 / seat / month (typically 1-3 admin seats)</w:t>
            </w:r>
          </w:p>
        </w:tc>
        <w:tc>
          <w:tcPr>
            <w:tcW w:w="2000" w:type="dxa"/>
            <w:shd w:val="clear" w:color="auto" w:fill="ffffff"/>
          </w:tcPr>
          <w:p>
            <w:pPr>
              <w:spacing w:before="90" w:after="90"/>
              <w:jc w:val="left"/>
            </w:pPr>
            <w:r>
              <w:rPr>
                <w:sz w:val="20"/>
                <w:color w:val="334155"/>
              </w:rPr>
              <w:t xml:space="preserve">$20 – $60 / month</w:t>
            </w:r>
          </w:p>
        </w:tc>
      </w:tr>
      <w:tr>
        <w:tc>
          <w:tcPr>
            <w:tcW w:w="2600" w:type="dxa"/>
            <w:shd w:val="clear" w:color="auto" w:fill="f8fafc"/>
          </w:tcPr>
          <w:p>
            <w:pPr>
              <w:spacing w:before="90" w:after="90"/>
              <w:jc w:val="left"/>
            </w:pPr>
            <w:r>
              <w:rPr>
                <w:sz w:val="20"/>
                <w:color w:val="334155"/>
              </w:rPr>
              <w:t xml:space="preserve">Compute: AWS ECS Fargate (Alt)</w:t>
            </w:r>
          </w:p>
        </w:tc>
        <w:tc>
          <w:tcPr>
            <w:tcW w:w="2400" w:type="dxa"/>
            <w:shd w:val="clear" w:color="auto" w:fill="f8fafc"/>
          </w:tcPr>
          <w:p>
            <w:pPr>
              <w:spacing w:before="90" w:after="90"/>
              <w:jc w:val="left"/>
            </w:pPr>
            <w:r>
              <w:rPr>
                <w:sz w:val="20"/>
                <w:color w:val="334155"/>
              </w:rPr>
              <w:t xml:space="preserve">vCPU &amp; Memory per second</w:t>
            </w:r>
          </w:p>
        </w:tc>
        <w:tc>
          <w:tcPr>
            <w:tcW w:w="2600" w:type="dxa"/>
            <w:shd w:val="clear" w:color="auto" w:fill="f8fafc"/>
          </w:tcPr>
          <w:p>
            <w:pPr>
              <w:spacing w:before="90" w:after="90"/>
              <w:jc w:val="left"/>
            </w:pPr>
            <w:r>
              <w:rPr>
                <w:sz w:val="20"/>
                <w:color w:val="334155"/>
              </w:rPr>
              <w:t xml:space="preserve">$0.04048/vCPU-hr + $0.004445/GB-hr (2 vCPU, 4 GB)</w:t>
            </w:r>
          </w:p>
        </w:tc>
        <w:tc>
          <w:tcPr>
            <w:tcW w:w="2000" w:type="dxa"/>
            <w:shd w:val="clear" w:color="auto" w:fill="f8fafc"/>
          </w:tcPr>
          <w:p>
            <w:pPr>
              <w:spacing w:before="90" w:after="90"/>
              <w:jc w:val="left"/>
            </w:pPr>
            <w:r>
              <w:rPr>
                <w:sz w:val="20"/>
                <w:color w:val="334155"/>
              </w:rPr>
              <w:t xml:space="preserve">~$45 / month</w:t>
            </w:r>
          </w:p>
        </w:tc>
      </w:tr>
      <w:tr>
        <w:tc>
          <w:tcPr>
            <w:tcW w:w="2600" w:type="dxa"/>
            <w:shd w:val="clear" w:color="auto" w:fill="ffffff"/>
          </w:tcPr>
          <w:p>
            <w:pPr>
              <w:spacing w:before="90" w:after="90"/>
              <w:jc w:val="left"/>
            </w:pPr>
            <w:r>
              <w:rPr>
                <w:sz w:val="20"/>
                <w:color w:val="334155"/>
              </w:rPr>
              <w:t xml:space="preserve">Database: Neon PostgreSQL</w:t>
            </w:r>
          </w:p>
        </w:tc>
        <w:tc>
          <w:tcPr>
            <w:tcW w:w="2400" w:type="dxa"/>
            <w:shd w:val="clear" w:color="auto" w:fill="ffffff"/>
          </w:tcPr>
          <w:p>
            <w:pPr>
              <w:spacing w:before="90" w:after="90"/>
              <w:jc w:val="left"/>
            </w:pPr>
            <w:r>
              <w:rPr>
                <w:sz w:val="20"/>
                <w:color w:val="334155"/>
              </w:rPr>
              <w:t xml:space="preserve">Storage &amp; Compute units</w:t>
            </w:r>
          </w:p>
        </w:tc>
        <w:tc>
          <w:tcPr>
            <w:tcW w:w="2600" w:type="dxa"/>
            <w:shd w:val="clear" w:color="auto" w:fill="ffffff"/>
          </w:tcPr>
          <w:p>
            <w:pPr>
              <w:spacing w:before="90" w:after="90"/>
              <w:jc w:val="left"/>
            </w:pPr>
            <w:r>
              <w:rPr>
                <w:sz w:val="20"/>
                <w:color w:val="334155"/>
              </w:rPr>
              <w:t xml:space="preserve">Launch Tier: $19/mo (Includes 10 GB storage + pooler)</w:t>
            </w:r>
          </w:p>
        </w:tc>
        <w:tc>
          <w:tcPr>
            <w:tcW w:w="2000" w:type="dxa"/>
            <w:shd w:val="clear" w:color="auto" w:fill="ffffff"/>
          </w:tcPr>
          <w:p>
            <w:pPr>
              <w:spacing w:before="90" w:after="90"/>
              <w:jc w:val="left"/>
            </w:pPr>
            <w:r>
              <w:rPr>
                <w:sz w:val="20"/>
                <w:color w:val="334155"/>
              </w:rPr>
              <w:t xml:space="preserve">$19 – $35 / month</w:t>
            </w:r>
          </w:p>
        </w:tc>
      </w:tr>
      <w:tr>
        <w:tc>
          <w:tcPr>
            <w:tcW w:w="2600" w:type="dxa"/>
            <w:shd w:val="clear" w:color="auto" w:fill="f8fafc"/>
          </w:tcPr>
          <w:p>
            <w:pPr>
              <w:spacing w:before="90" w:after="90"/>
              <w:jc w:val="left"/>
            </w:pPr>
            <w:r>
              <w:rPr>
                <w:sz w:val="20"/>
                <w:color w:val="334155"/>
              </w:rPr>
              <w:t xml:space="preserve">Database: AWS RDS Postgres (Alt)</w:t>
            </w:r>
          </w:p>
        </w:tc>
        <w:tc>
          <w:tcPr>
            <w:tcW w:w="2400" w:type="dxa"/>
            <w:shd w:val="clear" w:color="auto" w:fill="f8fafc"/>
          </w:tcPr>
          <w:p>
            <w:pPr>
              <w:spacing w:before="90" w:after="90"/>
              <w:jc w:val="left"/>
            </w:pPr>
            <w:r>
              <w:rPr>
                <w:sz w:val="20"/>
                <w:color w:val="334155"/>
              </w:rPr>
              <w:t xml:space="preserve">db.t4g.medium Multi-AZ</w:t>
            </w:r>
          </w:p>
        </w:tc>
        <w:tc>
          <w:tcPr>
            <w:tcW w:w="2600" w:type="dxa"/>
            <w:shd w:val="clear" w:color="auto" w:fill="f8fafc"/>
          </w:tcPr>
          <w:p>
            <w:pPr>
              <w:spacing w:before="90" w:after="90"/>
              <w:jc w:val="left"/>
            </w:pPr>
            <w:r>
              <w:rPr>
                <w:sz w:val="20"/>
                <w:color w:val="334155"/>
              </w:rPr>
              <w:t xml:space="preserve">~$0.068 / hour + $0.115/GB-mo GP3</w:t>
            </w:r>
          </w:p>
        </w:tc>
        <w:tc>
          <w:tcPr>
            <w:tcW w:w="2000" w:type="dxa"/>
            <w:shd w:val="clear" w:color="auto" w:fill="f8fafc"/>
          </w:tcPr>
          <w:p>
            <w:pPr>
              <w:spacing w:before="90" w:after="90"/>
              <w:jc w:val="left"/>
            </w:pPr>
            <w:r>
              <w:rPr>
                <w:sz w:val="20"/>
                <w:color w:val="334155"/>
              </w:rPr>
              <w:t xml:space="preserve">~$65 / month</w:t>
            </w:r>
          </w:p>
        </w:tc>
      </w:tr>
      <w:tr>
        <w:tc>
          <w:tcPr>
            <w:tcW w:w="2600" w:type="dxa"/>
            <w:shd w:val="clear" w:color="auto" w:fill="ffffff"/>
          </w:tcPr>
          <w:p>
            <w:pPr>
              <w:spacing w:before="90" w:after="90"/>
              <w:jc w:val="left"/>
            </w:pPr>
            <w:r>
              <w:rPr>
                <w:sz w:val="20"/>
                <w:color w:val="334155"/>
              </w:rPr>
              <w:t xml:space="preserve">AI: Google Gemini 1.5 Flash</w:t>
            </w:r>
          </w:p>
        </w:tc>
        <w:tc>
          <w:tcPr>
            <w:tcW w:w="2400" w:type="dxa"/>
            <w:shd w:val="clear" w:color="auto" w:fill="ffffff"/>
          </w:tcPr>
          <w:p>
            <w:pPr>
              <w:spacing w:before="90" w:after="90"/>
              <w:jc w:val="left"/>
            </w:pPr>
            <w:r>
              <w:rPr>
                <w:sz w:val="20"/>
                <w:color w:val="334155"/>
              </w:rPr>
              <w:t xml:space="preserve">Per 1M tokens</w:t>
            </w:r>
          </w:p>
        </w:tc>
        <w:tc>
          <w:tcPr>
            <w:tcW w:w="2600" w:type="dxa"/>
            <w:shd w:val="clear" w:color="auto" w:fill="ffffff"/>
          </w:tcPr>
          <w:p>
            <w:pPr>
              <w:spacing w:before="90" w:after="90"/>
              <w:jc w:val="left"/>
            </w:pPr>
            <w:r>
              <w:rPr>
                <w:sz w:val="20"/>
                <w:color w:val="334155"/>
              </w:rPr>
              <w:t xml:space="preserve">Input: $0.075 / 1M tokens | Output: $0.30 / 1M tokens</w:t>
            </w:r>
          </w:p>
        </w:tc>
        <w:tc>
          <w:tcPr>
            <w:tcW w:w="2000" w:type="dxa"/>
            <w:shd w:val="clear" w:color="auto" w:fill="ffffff"/>
          </w:tcPr>
          <w:p>
            <w:pPr>
              <w:spacing w:before="90" w:after="90"/>
              <w:jc w:val="left"/>
            </w:pPr>
            <w:r>
              <w:rPr>
                <w:sz w:val="20"/>
                <w:color w:val="334155"/>
              </w:rPr>
              <w:t xml:space="preserve">$5 – $15 / month (for ~1,000 incidents)</w:t>
            </w:r>
          </w:p>
        </w:tc>
      </w:tr>
      <w:tr>
        <w:tc>
          <w:tcPr>
            <w:tcW w:w="2600" w:type="dxa"/>
            <w:shd w:val="clear" w:color="auto" w:fill="f8fafc"/>
          </w:tcPr>
          <w:p>
            <w:pPr>
              <w:spacing w:before="90" w:after="90"/>
              <w:jc w:val="left"/>
            </w:pPr>
            <w:r>
              <w:rPr>
                <w:sz w:val="20"/>
                <w:color w:val="334155"/>
              </w:rPr>
              <w:t xml:space="preserve">AI: Google Gemini 1.5 Pro</w:t>
            </w:r>
          </w:p>
        </w:tc>
        <w:tc>
          <w:tcPr>
            <w:tcW w:w="2400" w:type="dxa"/>
            <w:shd w:val="clear" w:color="auto" w:fill="f8fafc"/>
          </w:tcPr>
          <w:p>
            <w:pPr>
              <w:spacing w:before="90" w:after="90"/>
              <w:jc w:val="left"/>
            </w:pPr>
            <w:r>
              <w:rPr>
                <w:sz w:val="20"/>
                <w:color w:val="334155"/>
              </w:rPr>
              <w:t xml:space="preserve">Per 1M tokens</w:t>
            </w:r>
          </w:p>
        </w:tc>
        <w:tc>
          <w:tcPr>
            <w:tcW w:w="2600" w:type="dxa"/>
            <w:shd w:val="clear" w:color="auto" w:fill="f8fafc"/>
          </w:tcPr>
          <w:p>
            <w:pPr>
              <w:spacing w:before="90" w:after="90"/>
              <w:jc w:val="left"/>
            </w:pPr>
            <w:r>
              <w:rPr>
                <w:sz w:val="20"/>
                <w:color w:val="334155"/>
              </w:rPr>
              <w:t xml:space="preserve">Input: $1.25 / 1M tokens | Output: $5.00 / 1M tokens</w:t>
            </w:r>
          </w:p>
        </w:tc>
        <w:tc>
          <w:tcPr>
            <w:tcW w:w="2000" w:type="dxa"/>
            <w:shd w:val="clear" w:color="auto" w:fill="f8fafc"/>
          </w:tcPr>
          <w:p>
            <w:pPr>
              <w:spacing w:before="90" w:after="90"/>
              <w:jc w:val="left"/>
            </w:pPr>
            <w:r>
              <w:rPr>
                <w:sz w:val="20"/>
                <w:color w:val="334155"/>
              </w:rPr>
              <w:t xml:space="preserve">$25 – $50 / month (if used for all tickets)</w:t>
            </w:r>
          </w:p>
        </w:tc>
      </w:tr>
      <w:tr>
        <w:tc>
          <w:tcPr>
            <w:tcW w:w="2600" w:type="dxa"/>
            <w:shd w:val="clear" w:color="auto" w:fill="ffffff"/>
          </w:tcPr>
          <w:p>
            <w:pPr>
              <w:spacing w:before="90" w:after="90"/>
              <w:jc w:val="left"/>
            </w:pPr>
            <w:r>
              <w:rPr>
                <w:sz w:val="20"/>
                <w:color w:val="334155"/>
              </w:rPr>
              <w:t xml:space="preserve">ServiceNow Integration User</w:t>
            </w:r>
          </w:p>
        </w:tc>
        <w:tc>
          <w:tcPr>
            <w:tcW w:w="2400" w:type="dxa"/>
            <w:shd w:val="clear" w:color="auto" w:fill="ffffff"/>
          </w:tcPr>
          <w:p>
            <w:pPr>
              <w:spacing w:before="90" w:after="90"/>
              <w:jc w:val="left"/>
            </w:pPr>
            <w:r>
              <w:rPr>
                <w:sz w:val="20"/>
                <w:color w:val="334155"/>
              </w:rPr>
              <w:t xml:space="preserve">ServiceNow licensing</w:t>
            </w:r>
          </w:p>
        </w:tc>
        <w:tc>
          <w:tcPr>
            <w:tcW w:w="2600" w:type="dxa"/>
            <w:shd w:val="clear" w:color="auto" w:fill="ffffff"/>
          </w:tcPr>
          <w:p>
            <w:pPr>
              <w:spacing w:before="90" w:after="90"/>
              <w:jc w:val="left"/>
            </w:pPr>
            <w:r>
              <w:rPr>
                <w:sz w:val="20"/>
                <w:color w:val="334155"/>
              </w:rPr>
              <w:t xml:space="preserve">Typically covered under existing Web Service / Integration user entitlement</w:t>
            </w:r>
          </w:p>
        </w:tc>
        <w:tc>
          <w:tcPr>
            <w:tcW w:w="2000" w:type="dxa"/>
            <w:shd w:val="clear" w:color="auto" w:fill="ffffff"/>
          </w:tcPr>
          <w:p>
            <w:pPr>
              <w:spacing w:before="90" w:after="90"/>
              <w:jc w:val="left"/>
            </w:pPr>
            <w:r>
              <w:rPr>
                <w:sz w:val="20"/>
                <w:color w:val="334155"/>
              </w:rPr>
              <w:t xml:space="preserve">$0 (existing corporate license)</w:t>
            </w:r>
          </w:p>
        </w:tc>
      </w:tr>
      <w:tr>
        <w:tc>
          <w:tcPr>
            <w:tcW w:w="2600" w:type="dxa"/>
            <w:shd w:val="clear" w:color="auto" w:fill="f8fafc"/>
          </w:tcPr>
          <w:p>
            <w:pPr>
              <w:spacing w:before="90" w:after="90"/>
              <w:jc w:val="left"/>
            </w:pPr>
            <w:r>
              <w:rPr>
                <w:sz w:val="20"/>
                <w:color w:val="334155"/>
              </w:rPr>
              <w:t xml:space="preserve">Microsoft 365 / Entra ID</w:t>
            </w:r>
          </w:p>
        </w:tc>
        <w:tc>
          <w:tcPr>
            <w:tcW w:w="2400" w:type="dxa"/>
            <w:shd w:val="clear" w:color="auto" w:fill="f8fafc"/>
          </w:tcPr>
          <w:p>
            <w:pPr>
              <w:spacing w:before="90" w:after="90"/>
              <w:jc w:val="left"/>
            </w:pPr>
            <w:r>
              <w:rPr>
                <w:sz w:val="20"/>
                <w:color w:val="334155"/>
              </w:rPr>
              <w:t xml:space="preserve">Enterprise M365 E3/E5</w:t>
            </w:r>
          </w:p>
        </w:tc>
        <w:tc>
          <w:tcPr>
            <w:tcW w:w="2600" w:type="dxa"/>
            <w:shd w:val="clear" w:color="auto" w:fill="f8fafc"/>
          </w:tcPr>
          <w:p>
            <w:pPr>
              <w:spacing w:before="90" w:after="90"/>
              <w:jc w:val="left"/>
            </w:pPr>
            <w:r>
              <w:rPr>
                <w:sz w:val="20"/>
                <w:color w:val="334155"/>
              </w:rPr>
              <w:t xml:space="preserve">Included in existing enterprise Microsoft 365 agreement</w:t>
            </w:r>
          </w:p>
        </w:tc>
        <w:tc>
          <w:tcPr>
            <w:tcW w:w="2000" w:type="dxa"/>
            <w:shd w:val="clear" w:color="auto" w:fill="f8fafc"/>
          </w:tcPr>
          <w:p>
            <w:pPr>
              <w:spacing w:before="90" w:after="90"/>
              <w:jc w:val="left"/>
            </w:pPr>
            <w:r>
              <w:rPr>
                <w:sz w:val="20"/>
                <w:color w:val="334155"/>
              </w:rPr>
              <w:t xml:space="preserve">$0 (existing corporate license)</w:t>
            </w:r>
          </w:p>
        </w:tc>
      </w:tr>
      <w:tr>
        <w:tc>
          <w:tcPr>
            <w:tcW w:w="2600" w:type="dxa"/>
            <w:shd w:val="clear" w:color="auto" w:fill="ffffff"/>
          </w:tcPr>
          <w:p>
            <w:pPr>
              <w:spacing w:before="90" w:after="90"/>
              <w:jc w:val="left"/>
            </w:pPr>
            <w:r>
              <w:rPr>
                <w:sz w:val="20"/>
                <w:color w:val="334155"/>
              </w:rPr>
              <w:t xml:space="preserve">Whisper Audio Transcription</w:t>
            </w:r>
          </w:p>
        </w:tc>
        <w:tc>
          <w:tcPr>
            <w:tcW w:w="2400" w:type="dxa"/>
            <w:shd w:val="clear" w:color="auto" w:fill="ffffff"/>
          </w:tcPr>
          <w:p>
            <w:pPr>
              <w:spacing w:before="90" w:after="90"/>
              <w:jc w:val="left"/>
            </w:pPr>
            <w:r>
              <w:rPr>
                <w:sz w:val="20"/>
                <w:color w:val="334155"/>
              </w:rPr>
              <w:t xml:space="preserve">Per minute of audio</w:t>
            </w:r>
          </w:p>
        </w:tc>
        <w:tc>
          <w:tcPr>
            <w:tcW w:w="2600" w:type="dxa"/>
            <w:shd w:val="clear" w:color="auto" w:fill="ffffff"/>
          </w:tcPr>
          <w:p>
            <w:pPr>
              <w:spacing w:before="90" w:after="90"/>
              <w:jc w:val="left"/>
            </w:pPr>
            <w:r>
              <w:rPr>
                <w:sz w:val="20"/>
                <w:color w:val="334155"/>
              </w:rPr>
              <w:t xml:space="preserve">$0.006 / minute (OpenAI API) or free via local whisper.cpp</w:t>
            </w:r>
          </w:p>
        </w:tc>
        <w:tc>
          <w:tcPr>
            <w:tcW w:w="2000" w:type="dxa"/>
            <w:shd w:val="clear" w:color="auto" w:fill="ffffff"/>
          </w:tcPr>
          <w:p>
            <w:pPr>
              <w:spacing w:before="90" w:after="90"/>
              <w:jc w:val="left"/>
            </w:pPr>
            <w:r>
              <w:rPr>
                <w:sz w:val="20"/>
                <w:color w:val="334155"/>
              </w:rPr>
              <w:t xml:space="preserve">$10 – $30 / month</w:t>
            </w:r>
          </w:p>
        </w:tc>
      </w:tr>
      <w:tr>
        <w:tc>
          <w:tcPr>
            <w:tcW w:w="2600" w:type="dxa"/>
            <w:shd w:val="clear" w:color="auto" w:fill="f8fafc"/>
          </w:tcPr>
          <w:p>
            <w:pPr>
              <w:spacing w:before="90" w:after="90"/>
              <w:jc w:val="left"/>
            </w:pPr>
            <w:r>
              <w:rPr>
                <w:sz w:val="20"/>
                <w:color w:val="334155"/>
              </w:rPr>
              <w:t xml:space="preserve">SSL &amp; Domain Name</w:t>
            </w:r>
          </w:p>
        </w:tc>
        <w:tc>
          <w:tcPr>
            <w:tcW w:w="2400" w:type="dxa"/>
            <w:shd w:val="clear" w:color="auto" w:fill="f8fafc"/>
          </w:tcPr>
          <w:p>
            <w:pPr>
              <w:spacing w:before="90" w:after="90"/>
              <w:jc w:val="left"/>
            </w:pPr>
            <w:r>
              <w:rPr>
                <w:sz w:val="20"/>
                <w:color w:val="334155"/>
              </w:rPr>
              <w:t xml:space="preserve">Annual registration</w:t>
            </w:r>
          </w:p>
        </w:tc>
        <w:tc>
          <w:tcPr>
            <w:tcW w:w="2600" w:type="dxa"/>
            <w:shd w:val="clear" w:color="auto" w:fill="f8fafc"/>
          </w:tcPr>
          <w:p>
            <w:pPr>
              <w:spacing w:before="90" w:after="90"/>
              <w:jc w:val="left"/>
            </w:pPr>
            <w:r>
              <w:rPr>
                <w:sz w:val="20"/>
                <w:color w:val="334155"/>
              </w:rPr>
              <w:t xml:space="preserve">$12 – $25 / year (Let's Encrypt SSL is $0)</w:t>
            </w:r>
          </w:p>
        </w:tc>
        <w:tc>
          <w:tcPr>
            <w:tcW w:w="2000" w:type="dxa"/>
            <w:shd w:val="clear" w:color="auto" w:fill="f8fafc"/>
          </w:tcPr>
          <w:p>
            <w:pPr>
              <w:spacing w:before="90" w:after="90"/>
              <w:jc w:val="left"/>
            </w:pPr>
            <w:r>
              <w:rPr>
                <w:sz w:val="20"/>
                <w:color w:val="334155"/>
              </w:rPr>
              <w:t xml:space="preserve">~$1 – $2 / month</w:t>
            </w:r>
          </w:p>
        </w:tc>
      </w:tr>
    </w:tbl>
    <w:p>
      <w:pPr>
        <w:pStyle w:val="Normal"/>
        <w:jc w:val="left"/>
        <w:spacing w:before="80" w:after="80"/>
      </w:pPr>
      <w:r>
        <w:t xml:space="preserve"/>
      </w:r>
    </w:p>
    <w:tbl>
      <w:tblPr>
        <w:tblW w:w="9600" w:type="dxa"/>
        <w:tblBorders>
          <w:top w:val="none"/>
          <w:left w:val="single" w:sz="36" w:space="0" w:color="10b981"/>
          <w:bottom w:val="none"/>
          <w:right w:val="none"/>
        </w:tblBorders>
        <w:tblCellMar>
          <w:top w:w="140" w:type="dxa"/>
          <w:left w:w="220" w:type="dxa"/>
          <w:bottom w:w="140" w:type="dxa"/>
          <w:right w:w="200" w:type="dxa"/>
        </w:tblCellMar>
      </w:tblPr>
      <w:tr>
        <w:tc>
          <w:tcPr>
            <w:tcW w:w="9600" w:type="dxa"/>
            <w:shd w:val="clear" w:color="auto" w:fill="f0fdf4"/>
          </w:tcPr>
          <w:p>
            <w:pPr>
              <w:spacing w:before="60" w:after="40"/>
            </w:pPr>
            <w:r>
              <w:rPr>
                <w:b/>
                <w:color w:val="10b981"/>
                <w:sz w:val="22"/>
              </w:rPr>
              <w:t xml:space="preserve">✅ Total Cost Advantage</w:t>
            </w:r>
          </w:p>
          <w:p>
            <w:pPr>
              <w:spacing w:before="40" w:after="60"/>
            </w:pPr>
            <w:r>
              <w:rPr>
                <w:color w:val="334155"/>
                <w:sz w:val="21"/>
              </w:rPr>
              <w:t xml:space="preserve">Unlike traditional incident management software that charges $35 to $99 per user per month, the CIM Outage Centre has ZERO per-user licensing fees. An entire enterprise with 200 incident responders can run the platform for under $100 per month total infrastructure spend.</w:t>
            </w:r>
          </w:p>
        </w:tc>
      </w:tr>
    </w:tbl>
    <w:p>
      <w:pPr>
        <w:pStyle w:val="Normal"/>
        <w:jc w:val="left"/>
        <w:spacing w:before="60" w:after="60"/>
      </w:pPr>
      <w:r>
        <w:t xml:space="preserve"/>
      </w:r>
    </w:p>
    <w:p>
      <w:pPr>
        <w:pStyle w:val="Heading1"/>
        <w:jc w:val="left"/>
        <w:spacing w:before="360" w:after="120"/>
      </w:pPr>
      <w:r>
        <w:rPr>
          <w:b/>
          <w:color w:val="0f172a"/>
          <w:sz w:val="36"/>
        </w:rPr>
        <w:t xml:space="preserve">7. Step-by-Step Deployment Execution Guide</w:t>
      </w:r>
    </w:p>
    <w:p>
      <w:pPr>
        <w:pStyle w:val="Normal"/>
        <w:jc w:val="left"/>
        <w:spacing w:before="100" w:after="100"/>
      </w:pPr>
      <w:r>
        <w:t xml:space="preserve">Follow this structured deployment procedure to stand up the platform in any target environment:</w:t>
      </w:r>
    </w:p>
    <w:p>
      <w:pPr>
        <w:pStyle w:val="Heading2"/>
        <w:jc w:val="left"/>
        <w:spacing w:before="240" w:after="80"/>
      </w:pPr>
      <w:r>
        <w:rPr>
          <w:b/>
          <w:color w:val="0284c7"/>
          <w:sz w:val="28"/>
        </w:rPr>
        <w:t xml:space="preserve">Phase 1: Environment &amp; Repository Setup</w:t>
      </w:r>
    </w:p>
    <w:p>
      <w:pPr>
        <w:pStyle w:val="Normal"/>
        <w:jc w:val="left"/>
        <w:spacing w:before="40" w:after="40"/>
      </w:pPr>
      <w:r>
        <w:rPr>
          <w:b/>
          <w:color w:val="0284c7"/>
        </w:rPr>
        <w:t xml:space="preserve">•  </w:t>
      </w:r>
      <w:r>
        <w:rPr>
          <w:b/>
          <w:color w:val="1e293b"/>
        </w:rPr>
        <w:t xml:space="preserve">1. Clone Codebase: </w:t>
      </w:r>
      <w:r>
        <w:rPr>
          <w:color w:val="334155"/>
        </w:rPr>
        <w:t xml:space="preserve">`git clone &lt;repository-url&gt; &amp;&amp; cd cim-outage-centre`</w:t>
      </w:r>
    </w:p>
    <w:p>
      <w:pPr>
        <w:pStyle w:val="Normal"/>
        <w:jc w:val="left"/>
        <w:spacing w:before="40" w:after="40"/>
      </w:pPr>
      <w:r>
        <w:rPr>
          <w:b/>
          <w:color w:val="0284c7"/>
        </w:rPr>
        <w:t xml:space="preserve">•  </w:t>
      </w:r>
      <w:r>
        <w:rPr>
          <w:b/>
          <w:color w:val="1e293b"/>
        </w:rPr>
        <w:t xml:space="preserve">2. Install Dependencies: </w:t>
      </w:r>
      <w:r>
        <w:rPr>
          <w:color w:val="334155"/>
        </w:rPr>
        <w:t xml:space="preserve">`npm install` (Installs Next.js 14, Prisma, Recharts, Lucide, Nodemailer, etc.).</w:t>
      </w:r>
    </w:p>
    <w:p>
      <w:pPr>
        <w:pStyle w:val="Normal"/>
        <w:jc w:val="left"/>
        <w:spacing w:before="40" w:after="40"/>
      </w:pPr>
      <w:r>
        <w:rPr>
          <w:b/>
          <w:color w:val="0284c7"/>
        </w:rPr>
        <w:t xml:space="preserve">•  </w:t>
      </w:r>
      <w:r>
        <w:rPr>
          <w:b/>
          <w:color w:val="1e293b"/>
        </w:rPr>
        <w:t xml:space="preserve">3. Configure Environment: </w:t>
      </w:r>
      <w:r>
        <w:rPr>
          <w:color w:val="334155"/>
        </w:rPr>
        <w:t xml:space="preserve">Create `.env.production` with database connection string, JWT secret, and API keys.</w:t>
      </w:r>
    </w:p>
    <w:p>
      <w:pPr>
        <w:pStyle w:val="Heading2"/>
        <w:jc w:val="left"/>
        <w:spacing w:before="240" w:after="80"/>
      </w:pPr>
      <w:r>
        <w:rPr>
          <w:b/>
          <w:color w:val="0284c7"/>
          <w:sz w:val="28"/>
        </w:rPr>
        <w:t xml:space="preserve">Phase 2: Database Initialization</w:t>
      </w:r>
    </w:p>
    <w:p>
      <w:pPr>
        <w:pStyle w:val="Normal"/>
        <w:jc w:val="left"/>
        <w:spacing w:before="40" w:after="40"/>
      </w:pPr>
      <w:r>
        <w:rPr>
          <w:b/>
          <w:color w:val="0284c7"/>
        </w:rPr>
        <w:t xml:space="preserve">•  </w:t>
      </w:r>
      <w:r>
        <w:rPr>
          <w:b/>
          <w:color w:val="1e293b"/>
        </w:rPr>
        <w:t xml:space="preserve">4. Generate Prisma Client: </w:t>
      </w:r>
      <w:r>
        <w:rPr>
          <w:color w:val="334155"/>
        </w:rPr>
        <w:t xml:space="preserve">`npx prisma generate` (Generates type-safe database client).</w:t>
      </w:r>
    </w:p>
    <w:p>
      <w:pPr>
        <w:pStyle w:val="Normal"/>
        <w:jc w:val="left"/>
        <w:spacing w:before="40" w:after="40"/>
      </w:pPr>
      <w:r>
        <w:rPr>
          <w:b/>
          <w:color w:val="0284c7"/>
        </w:rPr>
        <w:t xml:space="preserve">•  </w:t>
      </w:r>
      <w:r>
        <w:rPr>
          <w:b/>
          <w:color w:val="1e293b"/>
        </w:rPr>
        <w:t xml:space="preserve">5. Push Schema to Database: </w:t>
      </w:r>
      <w:r>
        <w:rPr>
          <w:color w:val="334155"/>
        </w:rPr>
        <w:t xml:space="preserve">`npx prisma db push` (Creates tables: User, Incident, ClosureTag, Site, AuditLog, etc.).</w:t>
      </w:r>
    </w:p>
    <w:p>
      <w:pPr>
        <w:pStyle w:val="Normal"/>
        <w:jc w:val="left"/>
        <w:spacing w:before="40" w:after="40"/>
      </w:pPr>
      <w:r>
        <w:rPr>
          <w:b/>
          <w:color w:val="0284c7"/>
        </w:rPr>
        <w:t xml:space="preserve">•  </w:t>
      </w:r>
      <w:r>
        <w:rPr>
          <w:b/>
          <w:color w:val="1e293b"/>
        </w:rPr>
        <w:t xml:space="preserve">6. Seed Initial Data: </w:t>
      </w:r>
      <w:r>
        <w:rPr>
          <w:color w:val="334155"/>
        </w:rPr>
        <w:t xml:space="preserve">`node scripts/seed.js` (Seeds the 8 standard closure issue tags and default configurations).</w:t>
      </w:r>
    </w:p>
    <w:p>
      <w:pPr>
        <w:pStyle w:val="Heading2"/>
        <w:jc w:val="left"/>
        <w:spacing w:before="240" w:after="80"/>
      </w:pPr>
      <w:r>
        <w:rPr>
          <w:b/>
          <w:color w:val="0284c7"/>
          <w:sz w:val="28"/>
        </w:rPr>
        <w:t xml:space="preserve">Phase 3: Building &amp; Process Launch</w:t>
      </w:r>
    </w:p>
    <w:p>
      <w:pPr>
        <w:pStyle w:val="Normal"/>
        <w:jc w:val="left"/>
        <w:spacing w:before="40" w:after="40"/>
      </w:pPr>
      <w:r>
        <w:rPr>
          <w:b/>
          <w:color w:val="0284c7"/>
        </w:rPr>
        <w:t xml:space="preserve">•  </w:t>
      </w:r>
      <w:r>
        <w:rPr>
          <w:b/>
          <w:color w:val="1e293b"/>
        </w:rPr>
        <w:t xml:space="preserve">7. Production Build: </w:t>
      </w:r>
      <w:r>
        <w:rPr>
          <w:color w:val="334155"/>
        </w:rPr>
        <w:t xml:space="preserve">`npm run build` (Compiles all static and dynamic pages with zero errors).</w:t>
      </w:r>
    </w:p>
    <w:p>
      <w:pPr>
        <w:pStyle w:val="Normal"/>
        <w:jc w:val="left"/>
        <w:spacing w:before="40" w:after="40"/>
      </w:pPr>
      <w:r>
        <w:rPr>
          <w:b/>
          <w:color w:val="0284c7"/>
        </w:rPr>
        <w:t xml:space="preserve">•  </w:t>
      </w:r>
      <w:r>
        <w:rPr>
          <w:b/>
          <w:color w:val="1e293b"/>
        </w:rPr>
        <w:t xml:space="preserve">8. Start Application Server: </w:t>
      </w:r>
      <w:r>
        <w:rPr>
          <w:color w:val="334155"/>
        </w:rPr>
        <w:t xml:space="preserve">`npm start` (Runs Next.js on port 3000) or deploy via `vercel --prod`.</w:t>
      </w:r>
    </w:p>
    <w:p>
      <w:pPr>
        <w:pStyle w:val="Normal"/>
        <w:jc w:val="left"/>
        <w:spacing w:before="40" w:after="40"/>
      </w:pPr>
      <w:r>
        <w:rPr>
          <w:b/>
          <w:color w:val="0284c7"/>
        </w:rPr>
        <w:t xml:space="preserve">•  </w:t>
      </w:r>
      <w:r>
        <w:rPr>
          <w:b/>
          <w:color w:val="1e293b"/>
        </w:rPr>
        <w:t xml:space="preserve">9. Launch ServiceNow MCP (Optional): </w:t>
      </w:r>
      <w:r>
        <w:rPr>
          <w:color w:val="334155"/>
        </w:rPr>
        <w:t xml:space="preserve">`npm run mcp:servicenow` (Starts the stdio MCP bridge).</w:t>
      </w:r>
    </w:p>
    <w:p>
      <w:pPr>
        <w:pStyle w:val="Heading1"/>
        <w:jc w:val="left"/>
        <w:spacing w:before="360" w:after="120"/>
      </w:pPr>
      <w:r>
        <w:rPr>
          <w:b/>
          <w:color w:val="0f172a"/>
          <w:sz w:val="36"/>
        </w:rPr>
        <w:t xml:space="preserve">8. Post-Deployment Verification &amp; Smoke Test Checklist</w:t>
      </w:r>
    </w:p>
    <w:p>
      <w:pPr>
        <w:pStyle w:val="Normal"/>
        <w:jc w:val="left"/>
        <w:spacing w:before="100" w:after="100"/>
      </w:pPr>
      <w:r>
        <w:t xml:space="preserve">Verify that each major subsystem functions correctly prior to handing over to production operations:</w:t>
      </w:r>
    </w:p>
    <w:tbl>
      <w:tblPr>
        <w:tblW w:w="9600" w:type="dxa"/>
        <w:tblBorders>
          <w:top w:val="single" w:sz="6" w:space="0" w:color="cbd5e1"/>
          <w:left w:val="none"/>
          <w:bottom w:val="single" w:sz="12" w:space="0" w:color="94a3b8"/>
          <w:right w:val="none"/>
          <w:insideH w:val="single" w:sz="4" w:space="0" w:color="e2e8f0"/>
          <w:insideV w:val="none"/>
        </w:tblBorders>
        <w:tblCellMar>
          <w:top w:w="100" w:type="dxa"/>
          <w:left w:w="140" w:type="dxa"/>
          <w:bottom w:w="100" w:type="dxa"/>
          <w:right w:w="140" w:type="dxa"/>
        </w:tblCellMar>
      </w:tblPr>
      <w:tr>
        <w:trPr>
          <w:tblHeader/>
        </w:trPr>
        <w:tc>
          <w:tcPr>
            <w:tcW w:w="2200" w:type="dxa"/>
            <w:shd w:val="clear" w:color="auto" w:fill="1e293b"/>
          </w:tcPr>
          <w:p>
            <w:pPr>
              <w:spacing w:before="120" w:after="120"/>
              <w:jc w:val="left"/>
            </w:pPr>
            <w:r>
              <w:rPr>
                <w:b/>
                <w:color w:val="ffffff"/>
                <w:sz w:val="20"/>
              </w:rPr>
              <w:t xml:space="preserve">Subsystem / Feature</w:t>
            </w:r>
          </w:p>
        </w:tc>
        <w:tc>
          <w:tcPr>
            <w:tcW w:w="3200" w:type="dxa"/>
            <w:shd w:val="clear" w:color="auto" w:fill="1e293b"/>
          </w:tcPr>
          <w:p>
            <w:pPr>
              <w:spacing w:before="120" w:after="120"/>
              <w:jc w:val="left"/>
            </w:pPr>
            <w:r>
              <w:rPr>
                <w:b/>
                <w:color w:val="ffffff"/>
                <w:sz w:val="20"/>
              </w:rPr>
              <w:t xml:space="preserve">Verification Procedure</w:t>
            </w:r>
          </w:p>
        </w:tc>
        <w:tc>
          <w:tcPr>
            <w:tcW w:w="3200" w:type="dxa"/>
            <w:shd w:val="clear" w:color="auto" w:fill="1e293b"/>
          </w:tcPr>
          <w:p>
            <w:pPr>
              <w:spacing w:before="120" w:after="120"/>
              <w:jc w:val="left"/>
            </w:pPr>
            <w:r>
              <w:rPr>
                <w:b/>
                <w:color w:val="ffffff"/>
                <w:sz w:val="20"/>
              </w:rPr>
              <w:t xml:space="preserve">Expected Successful Outcome</w:t>
            </w:r>
          </w:p>
        </w:tc>
        <w:tc>
          <w:tcPr>
            <w:tcW w:w="1000" w:type="dxa"/>
            <w:shd w:val="clear" w:color="auto" w:fill="1e293b"/>
          </w:tcPr>
          <w:p>
            <w:pPr>
              <w:spacing w:before="120" w:after="120"/>
              <w:jc w:val="left"/>
            </w:pPr>
            <w:r>
              <w:rPr>
                <w:b/>
                <w:color w:val="ffffff"/>
                <w:sz w:val="20"/>
              </w:rPr>
              <w:t xml:space="preserve">Status</w:t>
            </w:r>
          </w:p>
        </w:tc>
      </w:tr>
      <w:tr>
        <w:tc>
          <w:tcPr>
            <w:tcW w:w="2200" w:type="dxa"/>
            <w:shd w:val="clear" w:color="auto" w:fill="ffffff"/>
          </w:tcPr>
          <w:p>
            <w:pPr>
              <w:spacing w:before="90" w:after="90"/>
              <w:jc w:val="left"/>
            </w:pPr>
            <w:r>
              <w:rPr>
                <w:sz w:val="20"/>
                <w:color w:val="334155"/>
              </w:rPr>
              <w:t xml:space="preserve">Authentication &amp; SSO</w:t>
            </w:r>
          </w:p>
        </w:tc>
        <w:tc>
          <w:tcPr>
            <w:tcW w:w="3200" w:type="dxa"/>
            <w:shd w:val="clear" w:color="auto" w:fill="ffffff"/>
          </w:tcPr>
          <w:p>
            <w:pPr>
              <w:spacing w:before="90" w:after="90"/>
              <w:jc w:val="left"/>
            </w:pPr>
            <w:r>
              <w:rPr>
                <w:sz w:val="20"/>
                <w:color w:val="334155"/>
              </w:rPr>
              <w:t xml:space="preserve">Log in via Microsoft Entra SSO and Local Login</w:t>
            </w:r>
          </w:p>
        </w:tc>
        <w:tc>
          <w:tcPr>
            <w:tcW w:w="3200" w:type="dxa"/>
            <w:shd w:val="clear" w:color="auto" w:fill="ffffff"/>
          </w:tcPr>
          <w:p>
            <w:pPr>
              <w:spacing w:before="90" w:after="90"/>
              <w:jc w:val="left"/>
            </w:pPr>
            <w:r>
              <w:rPr>
                <w:sz w:val="20"/>
                <w:color w:val="334155"/>
              </w:rPr>
              <w:t xml:space="preserve">Redirects to dashboard, user session cookie set with timeZone</w:t>
            </w:r>
          </w:p>
        </w:tc>
        <w:tc>
          <w:tcPr>
            <w:tcW w:w="1000" w:type="dxa"/>
            <w:shd w:val="clear" w:color="auto" w:fill="ffffff"/>
          </w:tcPr>
          <w:p>
            <w:pPr>
              <w:spacing w:before="90" w:after="90"/>
              <w:jc w:val="left"/>
            </w:pPr>
            <w:r>
              <w:rPr>
                <w:sz w:val="20"/>
                <w:color w:val="334155"/>
              </w:rPr>
              <w:t xml:space="preserve">[   ]</w:t>
            </w:r>
          </w:p>
        </w:tc>
      </w:tr>
      <w:tr>
        <w:tc>
          <w:tcPr>
            <w:tcW w:w="2200" w:type="dxa"/>
            <w:shd w:val="clear" w:color="auto" w:fill="f8fafc"/>
          </w:tcPr>
          <w:p>
            <w:pPr>
              <w:spacing w:before="90" w:after="90"/>
              <w:jc w:val="left"/>
            </w:pPr>
            <w:r>
              <w:rPr>
                <w:sz w:val="20"/>
                <w:color w:val="334155"/>
              </w:rPr>
              <w:t xml:space="preserve">Incident Creation</w:t>
            </w:r>
          </w:p>
        </w:tc>
        <w:tc>
          <w:tcPr>
            <w:tcW w:w="3200" w:type="dxa"/>
            <w:shd w:val="clear" w:color="auto" w:fill="f8fafc"/>
          </w:tcPr>
          <w:p>
            <w:pPr>
              <w:spacing w:before="90" w:after="90"/>
              <w:jc w:val="left"/>
            </w:pPr>
            <w:r>
              <w:rPr>
                <w:sz w:val="20"/>
                <w:color w:val="334155"/>
              </w:rPr>
              <w:t xml:space="preserve">Create test P1 incident with affected site</w:t>
            </w:r>
          </w:p>
        </w:tc>
        <w:tc>
          <w:tcPr>
            <w:tcW w:w="3200" w:type="dxa"/>
            <w:shd w:val="clear" w:color="auto" w:fill="f8fafc"/>
          </w:tcPr>
          <w:p>
            <w:pPr>
              <w:spacing w:before="90" w:after="90"/>
              <w:jc w:val="left"/>
            </w:pPr>
            <w:r>
              <w:rPr>
                <w:sz w:val="20"/>
                <w:color w:val="334155"/>
              </w:rPr>
              <w:t xml:space="preserve">Incident record created, appears in Live Active tab</w:t>
            </w:r>
          </w:p>
        </w:tc>
        <w:tc>
          <w:tcPr>
            <w:tcW w:w="1000" w:type="dxa"/>
            <w:shd w:val="clear" w:color="auto" w:fill="f8fafc"/>
          </w:tcPr>
          <w:p>
            <w:pPr>
              <w:spacing w:before="90" w:after="90"/>
              <w:jc w:val="left"/>
            </w:pPr>
            <w:r>
              <w:rPr>
                <w:sz w:val="20"/>
                <w:color w:val="334155"/>
              </w:rPr>
              <w:t xml:space="preserve">[   ]</w:t>
            </w:r>
          </w:p>
        </w:tc>
      </w:tr>
      <w:tr>
        <w:tc>
          <w:tcPr>
            <w:tcW w:w="2200" w:type="dxa"/>
            <w:shd w:val="clear" w:color="auto" w:fill="ffffff"/>
          </w:tcPr>
          <w:p>
            <w:pPr>
              <w:spacing w:before="90" w:after="90"/>
              <w:jc w:val="left"/>
            </w:pPr>
            <w:r>
              <w:rPr>
                <w:sz w:val="20"/>
                <w:color w:val="334155"/>
              </w:rPr>
              <w:t xml:space="preserve">AI Analysis &amp; Groups</w:t>
            </w:r>
          </w:p>
        </w:tc>
        <w:tc>
          <w:tcPr>
            <w:tcW w:w="3200" w:type="dxa"/>
            <w:shd w:val="clear" w:color="auto" w:fill="ffffff"/>
          </w:tcPr>
          <w:p>
            <w:pPr>
              <w:spacing w:before="90" w:after="90"/>
              <w:jc w:val="left"/>
            </w:pPr>
            <w:r>
              <w:rPr>
                <w:sz w:val="20"/>
                <w:color w:val="334155"/>
              </w:rPr>
              <w:t xml:space="preserve">Open incident and trigger AI Analysis</w:t>
            </w:r>
          </w:p>
        </w:tc>
        <w:tc>
          <w:tcPr>
            <w:tcW w:w="3200" w:type="dxa"/>
            <w:shd w:val="clear" w:color="auto" w:fill="ffffff"/>
          </w:tcPr>
          <w:p>
            <w:pPr>
              <w:spacing w:before="90" w:after="90"/>
              <w:jc w:val="left"/>
            </w:pPr>
            <w:r>
              <w:rPr>
                <w:sz w:val="20"/>
                <w:color w:val="334155"/>
              </w:rPr>
              <w:t xml:space="preserve">Verified ServiceNow groups returned, 30d changes ranked</w:t>
            </w:r>
          </w:p>
        </w:tc>
        <w:tc>
          <w:tcPr>
            <w:tcW w:w="1000" w:type="dxa"/>
            <w:shd w:val="clear" w:color="auto" w:fill="ffffff"/>
          </w:tcPr>
          <w:p>
            <w:pPr>
              <w:spacing w:before="90" w:after="90"/>
              <w:jc w:val="left"/>
            </w:pPr>
            <w:r>
              <w:rPr>
                <w:sz w:val="20"/>
                <w:color w:val="334155"/>
              </w:rPr>
              <w:t xml:space="preserve">[   ]</w:t>
            </w:r>
          </w:p>
        </w:tc>
      </w:tr>
      <w:tr>
        <w:tc>
          <w:tcPr>
            <w:tcW w:w="2200" w:type="dxa"/>
            <w:shd w:val="clear" w:color="auto" w:fill="f8fafc"/>
          </w:tcPr>
          <w:p>
            <w:pPr>
              <w:spacing w:before="90" w:after="90"/>
              <w:jc w:val="left"/>
            </w:pPr>
            <w:r>
              <w:rPr>
                <w:sz w:val="20"/>
                <w:color w:val="334155"/>
              </w:rPr>
              <w:t xml:space="preserve">Timeline &amp; Email</w:t>
            </w:r>
          </w:p>
        </w:tc>
        <w:tc>
          <w:tcPr>
            <w:tcW w:w="3200" w:type="dxa"/>
            <w:shd w:val="clear" w:color="auto" w:fill="f8fafc"/>
          </w:tcPr>
          <w:p>
            <w:pPr>
              <w:spacing w:before="90" w:after="90"/>
              <w:jc w:val="left"/>
            </w:pPr>
            <w:r>
              <w:rPr>
                <w:sz w:val="20"/>
                <w:color w:val="334155"/>
              </w:rPr>
              <w:t xml:space="preserve">Post a timeline update with review modal</w:t>
            </w:r>
          </w:p>
        </w:tc>
        <w:tc>
          <w:tcPr>
            <w:tcW w:w="3200" w:type="dxa"/>
            <w:shd w:val="clear" w:color="auto" w:fill="f8fafc"/>
          </w:tcPr>
          <w:p>
            <w:pPr>
              <w:spacing w:before="90" w:after="90"/>
              <w:jc w:val="left"/>
            </w:pPr>
            <w:r>
              <w:rPr>
                <w:sz w:val="20"/>
                <w:color w:val="334155"/>
              </w:rPr>
              <w:t xml:space="preserve">Timeline update recorded, email dispatched, worknotes synced</w:t>
            </w:r>
          </w:p>
        </w:tc>
        <w:tc>
          <w:tcPr>
            <w:tcW w:w="1000" w:type="dxa"/>
            <w:shd w:val="clear" w:color="auto" w:fill="f8fafc"/>
          </w:tcPr>
          <w:p>
            <w:pPr>
              <w:spacing w:before="90" w:after="90"/>
              <w:jc w:val="left"/>
            </w:pPr>
            <w:r>
              <w:rPr>
                <w:sz w:val="20"/>
                <w:color w:val="334155"/>
              </w:rPr>
              <w:t xml:space="preserve">[   ]</w:t>
            </w:r>
          </w:p>
        </w:tc>
      </w:tr>
      <w:tr>
        <w:tc>
          <w:tcPr>
            <w:tcW w:w="2200" w:type="dxa"/>
            <w:shd w:val="clear" w:color="auto" w:fill="ffffff"/>
          </w:tcPr>
          <w:p>
            <w:pPr>
              <w:spacing w:before="90" w:after="90"/>
              <w:jc w:val="left"/>
            </w:pPr>
            <w:r>
              <w:rPr>
                <w:sz w:val="20"/>
                <w:color w:val="334155"/>
              </w:rPr>
              <w:t xml:space="preserve">Closure Tagging Modal</w:t>
            </w:r>
          </w:p>
        </w:tc>
        <w:tc>
          <w:tcPr>
            <w:tcW w:w="3200" w:type="dxa"/>
            <w:shd w:val="clear" w:color="auto" w:fill="ffffff"/>
          </w:tcPr>
          <w:p>
            <w:pPr>
              <w:spacing w:before="90" w:after="90"/>
              <w:jc w:val="left"/>
            </w:pPr>
            <w:r>
              <w:rPr>
                <w:sz w:val="20"/>
                <w:color w:val="334155"/>
              </w:rPr>
              <w:t xml:space="preserve">Transition incident status to CLOSED</w:t>
            </w:r>
          </w:p>
        </w:tc>
        <w:tc>
          <w:tcPr>
            <w:tcW w:w="3200" w:type="dxa"/>
            <w:shd w:val="clear" w:color="auto" w:fill="ffffff"/>
          </w:tcPr>
          <w:p>
            <w:pPr>
              <w:spacing w:before="90" w:after="90"/>
              <w:jc w:val="left"/>
            </w:pPr>
            <w:r>
              <w:rPr>
                <w:sz w:val="20"/>
                <w:color w:val="334155"/>
              </w:rPr>
              <w:t xml:space="preserve">CloseIncidentModal opens, allows multi-tag selection, archives ticket</w:t>
            </w:r>
          </w:p>
        </w:tc>
        <w:tc>
          <w:tcPr>
            <w:tcW w:w="1000" w:type="dxa"/>
            <w:shd w:val="clear" w:color="auto" w:fill="ffffff"/>
          </w:tcPr>
          <w:p>
            <w:pPr>
              <w:spacing w:before="90" w:after="90"/>
              <w:jc w:val="left"/>
            </w:pPr>
            <w:r>
              <w:rPr>
                <w:sz w:val="20"/>
                <w:color w:val="334155"/>
              </w:rPr>
              <w:t xml:space="preserve">[   ]</w:t>
            </w:r>
          </w:p>
        </w:tc>
      </w:tr>
      <w:tr>
        <w:tc>
          <w:tcPr>
            <w:tcW w:w="2200" w:type="dxa"/>
            <w:shd w:val="clear" w:color="auto" w:fill="f8fafc"/>
          </w:tcPr>
          <w:p>
            <w:pPr>
              <w:spacing w:before="90" w:after="90"/>
              <w:jc w:val="left"/>
            </w:pPr>
            <w:r>
              <w:rPr>
                <w:sz w:val="20"/>
                <w:color w:val="334155"/>
              </w:rPr>
              <w:t xml:space="preserve">Admin Tag Management</w:t>
            </w:r>
          </w:p>
        </w:tc>
        <w:tc>
          <w:tcPr>
            <w:tcW w:w="3200" w:type="dxa"/>
            <w:shd w:val="clear" w:color="auto" w:fill="f8fafc"/>
          </w:tcPr>
          <w:p>
            <w:pPr>
              <w:spacing w:before="90" w:after="90"/>
              <w:jc w:val="left"/>
            </w:pPr>
            <w:r>
              <w:rPr>
                <w:sz w:val="20"/>
                <w:color w:val="334155"/>
              </w:rPr>
              <w:t xml:space="preserve">Navigate to `/admin` -&gt; Closure Issue Tags</w:t>
            </w:r>
          </w:p>
        </w:tc>
        <w:tc>
          <w:tcPr>
            <w:tcW w:w="3200" w:type="dxa"/>
            <w:shd w:val="clear" w:color="auto" w:fill="f8fafc"/>
          </w:tcPr>
          <w:p>
            <w:pPr>
              <w:spacing w:before="90" w:after="90"/>
              <w:jc w:val="left"/>
            </w:pPr>
            <w:r>
              <w:rPr>
                <w:sz w:val="20"/>
                <w:color w:val="334155"/>
              </w:rPr>
              <w:t xml:space="preserve">Displays all 8 default tags, allows add/edit/color change</w:t>
            </w:r>
          </w:p>
        </w:tc>
        <w:tc>
          <w:tcPr>
            <w:tcW w:w="1000" w:type="dxa"/>
            <w:shd w:val="clear" w:color="auto" w:fill="f8fafc"/>
          </w:tcPr>
          <w:p>
            <w:pPr>
              <w:spacing w:before="90" w:after="90"/>
              <w:jc w:val="left"/>
            </w:pPr>
            <w:r>
              <w:rPr>
                <w:sz w:val="20"/>
                <w:color w:val="334155"/>
              </w:rPr>
              <w:t xml:space="preserve">[   ]</w:t>
            </w:r>
          </w:p>
        </w:tc>
      </w:tr>
      <w:tr>
        <w:tc>
          <w:tcPr>
            <w:tcW w:w="2200" w:type="dxa"/>
            <w:shd w:val="clear" w:color="auto" w:fill="ffffff"/>
          </w:tcPr>
          <w:p>
            <w:pPr>
              <w:spacing w:before="90" w:after="90"/>
              <w:jc w:val="left"/>
            </w:pPr>
            <w:r>
              <w:rPr>
                <w:sz w:val="20"/>
                <w:color w:val="334155"/>
              </w:rPr>
              <w:t xml:space="preserve">Reports &amp; Analytics</w:t>
            </w:r>
          </w:p>
        </w:tc>
        <w:tc>
          <w:tcPr>
            <w:tcW w:w="3200" w:type="dxa"/>
            <w:shd w:val="clear" w:color="auto" w:fill="ffffff"/>
          </w:tcPr>
          <w:p>
            <w:pPr>
              <w:spacing w:before="90" w:after="90"/>
              <w:jc w:val="left"/>
            </w:pPr>
            <w:r>
              <w:rPr>
                <w:sz w:val="20"/>
                <w:color w:val="334155"/>
              </w:rPr>
              <w:t xml:space="preserve">Open `/reports` and filter by Closure Tag</w:t>
            </w:r>
          </w:p>
        </w:tc>
        <w:tc>
          <w:tcPr>
            <w:tcW w:w="3200" w:type="dxa"/>
            <w:shd w:val="clear" w:color="auto" w:fill="ffffff"/>
          </w:tcPr>
          <w:p>
            <w:pPr>
              <w:spacing w:before="90" w:after="90"/>
              <w:jc w:val="left"/>
            </w:pPr>
            <w:r>
              <w:rPr>
                <w:sz w:val="20"/>
                <w:color w:val="334155"/>
              </w:rPr>
              <w:t xml:space="preserve">Donut chart displays distribution, Excel export downloads clean XLSX</w:t>
            </w:r>
          </w:p>
        </w:tc>
        <w:tc>
          <w:tcPr>
            <w:tcW w:w="1000" w:type="dxa"/>
            <w:shd w:val="clear" w:color="auto" w:fill="ffffff"/>
          </w:tcPr>
          <w:p>
            <w:pPr>
              <w:spacing w:before="90" w:after="90"/>
              <w:jc w:val="left"/>
            </w:pPr>
            <w:r>
              <w:rPr>
                <w:sz w:val="20"/>
                <w:color w:val="334155"/>
              </w:rPr>
              <w:t xml:space="preserve">[   ]</w:t>
            </w:r>
          </w:p>
        </w:tc>
      </w:tr>
    </w:tbl>
    <w:p>
      <w:pPr>
        <w:pStyle w:val="Normal"/>
        <w:jc w:val="left"/>
        <w:spacing w:before="80" w:after="80"/>
      </w:pPr>
      <w:r>
        <w:t xml:space="preserve"/>
      </w:r>
    </w:p>
    <w:p>
      <w:pPr>
        <w:pStyle w:val="Heading1"/>
        <w:jc w:val="left"/>
        <w:spacing w:before="360" w:after="120"/>
      </w:pPr>
      <w:r>
        <w:rPr>
          <w:b/>
          <w:color w:val="0f172a"/>
          <w:sz w:val="36"/>
        </w:rPr>
        <w:t xml:space="preserve">9. Security, Governance &amp; Compliance Standards</w:t>
      </w:r>
    </w:p>
    <w:p>
      <w:pPr>
        <w:pStyle w:val="Normal"/>
        <w:jc w:val="left"/>
        <w:spacing w:before="40" w:after="40"/>
      </w:pPr>
      <w:r>
        <w:rPr>
          <w:b/>
          <w:color w:val="0284c7"/>
        </w:rPr>
        <w:t xml:space="preserve">•  </w:t>
      </w:r>
      <w:r>
        <w:rPr>
          <w:b/>
          <w:color w:val="1e293b"/>
        </w:rPr>
        <w:t xml:space="preserve">Encryption in Transit: </w:t>
      </w:r>
      <w:r>
        <w:rPr>
          <w:color w:val="334155"/>
        </w:rPr>
        <w:t xml:space="preserve">All communications must be secured over TLS 1.3. HTTPS strictly enforced on all API endpoints.</w:t>
      </w:r>
    </w:p>
    <w:p>
      <w:pPr>
        <w:pStyle w:val="Normal"/>
        <w:jc w:val="left"/>
        <w:spacing w:before="40" w:after="40"/>
      </w:pPr>
      <w:r>
        <w:rPr>
          <w:b/>
          <w:color w:val="0284c7"/>
        </w:rPr>
        <w:t xml:space="preserve">•  </w:t>
      </w:r>
      <w:r>
        <w:rPr>
          <w:b/>
          <w:color w:val="1e293b"/>
        </w:rPr>
        <w:t xml:space="preserve">Encryption at Rest: </w:t>
      </w:r>
      <w:r>
        <w:rPr>
          <w:color w:val="334155"/>
        </w:rPr>
        <w:t xml:space="preserve">PostgreSQL database storage encrypted using AES-256. Prisma stores user passwords hashed via `bcryptjs` with 10 salt rounds.</w:t>
      </w:r>
    </w:p>
    <w:p>
      <w:pPr>
        <w:pStyle w:val="Normal"/>
        <w:jc w:val="left"/>
        <w:spacing w:before="40" w:after="40"/>
      </w:pPr>
      <w:r>
        <w:rPr>
          <w:b/>
          <w:color w:val="0284c7"/>
        </w:rPr>
        <w:t xml:space="preserve">•  </w:t>
      </w:r>
      <w:r>
        <w:rPr>
          <w:b/>
          <w:color w:val="1e293b"/>
        </w:rPr>
        <w:t xml:space="preserve">JWT Token Sanitization: </w:t>
      </w:r>
      <w:r>
        <w:rPr>
          <w:color w:val="334155"/>
        </w:rPr>
        <w:t xml:space="preserve">Authentication tokens strip out all conflicting internal claims (`exp`, `iat`, `nbf`) on session refresh to prevent JWT signature invalidation.</w:t>
      </w:r>
    </w:p>
    <w:p>
      <w:pPr>
        <w:pStyle w:val="Normal"/>
        <w:jc w:val="left"/>
        <w:spacing w:before="40" w:after="40"/>
      </w:pPr>
      <w:r>
        <w:rPr>
          <w:b/>
          <w:color w:val="0284c7"/>
        </w:rPr>
        <w:t xml:space="preserve">•  </w:t>
      </w:r>
      <w:r>
        <w:rPr>
          <w:b/>
          <w:color w:val="1e293b"/>
        </w:rPr>
        <w:t xml:space="preserve">Role-Based Access Control (RBAC): </w:t>
      </w:r>
      <w:r>
        <w:rPr>
          <w:color w:val="334155"/>
        </w:rPr>
        <w:t xml:space="preserve">Strict enforcement of `ADMIN`, `INCIDENT_MANAGER`, and `GUEST` privileges across administrative routes and incident state transitions.</w:t>
      </w:r>
    </w:p>
    <w:p>
      <w:pPr>
        <w:pStyle w:val="Normal"/>
        <w:jc w:val="left"/>
        <w:spacing w:before="40" w:after="40"/>
      </w:pPr>
      <w:r>
        <w:rPr>
          <w:b/>
          <w:color w:val="0284c7"/>
        </w:rPr>
        <w:t xml:space="preserve">•  </w:t>
      </w:r>
      <w:r>
        <w:rPr>
          <w:b/>
          <w:color w:val="1e293b"/>
        </w:rPr>
        <w:t xml:space="preserve">Immutable Audit Logging: </w:t>
      </w:r>
      <w:r>
        <w:rPr>
          <w:color w:val="334155"/>
        </w:rPr>
        <w:t xml:space="preserve">Every incident state transition, closure tag modification, and administrative configuration change is recorded in the `AuditLog` table.</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Calibri" w:hAnsi="Calibri" w:cs="Calibri"/>
        <w:sz w:val="22"/>
        <w:color w:val="334155"/>
      </w:rPr>
    </w:rPrDefault>
    <w:pPrDefault>
      <w:pPr>
        <w:spacing w:before="80" w:after="80" w:line="276" w:lineRule="auto"/>
      </w:pPr>
    </w:pPrDefault>
  </w:docDefaults>
  <w:style w:type="paragraph" w:default="1" w:styleId="Normal">
    <w:name w:val="Normal"/>
  </w:style>
  <w:style w:type="paragraph" w:styleId="Heading1">
    <w:name w:val="heading 1"/>
    <w:rPr>
      <w:rFonts w:ascii="Calibri" w:hAnsi="Calibri"/>
      <w:b/>
      <w:color w:val="0f172a"/>
      <w:sz w:val="36"/>
    </w:rPr>
  </w:style>
  <w:style w:type="paragraph" w:styleId="Heading2">
    <w:name w:val="heading 2"/>
    <w:rPr>
      <w:rFonts w:ascii="Calibri" w:hAnsi="Calibri"/>
      <w:b/>
      <w:color w:val="0284c7"/>
      <w:sz w:val="28"/>
    </w:rPr>
  </w:style>
  <w:style w:type="paragraph" w:styleId="Heading3">
    <w:name w:val="heading 3"/>
    <w:rPr>
      <w:rFonts w:ascii="Calibri" w:hAnsi="Calibri"/>
      <w:b/>
      <w:color w:val="1e293b"/>
      <w:sz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