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/>
        </w:rPr>
        <w:t>[[FAV_INTRO]] Després d’haver comprovat la documentació presentada i sempre i quan es doni compliment a les següents disposicions legals:</w:t>
      </w:r>
    </w:p>
    <w:p>
      <w:pPr>
        <w:pStyle w:val="ListParagraph"/>
      </w:pPr>
      <w:r>
        <w:rPr>
          <w:rFonts w:ascii="Bookman Old Style" w:hAnsi="Bookman Old Style"/>
        </w:rPr>
        <w:t>[[FIXED]] LLEI 3/2010, del 18 de febrer, de prevenció i seguretat en matèria d'incendis en establiments, activitats, infraestructures i edificis.</w:t>
      </w:r>
    </w:p>
    <w:p>
      <w:pPr>
        <w:pStyle w:val="ListParagraph"/>
      </w:pPr>
      <w:r>
        <w:rPr>
          <w:rFonts w:ascii="Bookman Old Style" w:hAnsi="Bookman Old Style"/>
        </w:rPr>
        <w:t>Instrucció Tècnica Complementària SP-144 Condicions de seguretat en cas d’incendi en activitats esporàdiques.</w:t>
      </w:r>
    </w:p>
    <w:p>
      <w:pPr>
        <w:pStyle w:val="ListParagraph"/>
      </w:pPr>
      <w:r>
        <w:rPr>
          <w:rFonts w:ascii="Bookman Old Style" w:hAnsi="Bookman Old Style"/>
        </w:rPr>
        <w:t>LLEI 11/2009, del 6 de juliol, de regulació administrativa dels espectacles públics i les activitats recreatives.</w:t>
      </w:r>
    </w:p>
    <w:p>
      <w:pPr>
        <w:pStyle w:val="ListParagraph"/>
      </w:pPr>
      <w:r>
        <w:rPr>
          <w:rFonts w:ascii="Bookman Old Style" w:hAnsi="Bookman Old Style"/>
        </w:rPr>
        <w:t>DECRET 112/2010, de 31 d'agost, pel qual s'aprova el Reglament d'espectacles públics i activitats recreatives.</w:t>
      </w:r>
    </w:p>
    <w:p>
      <w:r>
        <w:rPr>
          <w:rFonts w:ascii="Bookman Old Style" w:hAnsi="Bookman Old Style"/>
        </w:rPr>
        <w:t>[[FAV_MID]] s’informa favorablement tenint en compte les següents consideracions:</w:t>
      </w:r>
    </w:p>
    <w:p>
      <w:pPr>
        <w:pStyle w:val="ListParagraph"/>
      </w:pPr>
      <w:r>
        <w:rPr>
          <w:rFonts w:ascii="Bookman Old Style" w:hAnsi="Bookman Old Style"/>
        </w:rPr>
        <w:t>[[MOBILITAT]] Mobilitat. Es disposa de l’informe favorable de mobilitat de la Guàrdia Urbana de Cornellà de Llobregat, indicant que no hi ha cap inconvenient per a que es pugui dur a terme el mencionat acte a les dates i establiment sol·licitat.</w:t>
      </w:r>
    </w:p>
    <w:p>
      <w:pPr>
        <w:pStyle w:val="ListParagraph"/>
      </w:pPr>
      <w:r>
        <w:rPr>
          <w:rFonts w:ascii="Bookman Old Style" w:hAnsi="Bookman Old Style"/>
        </w:rPr>
        <w:t>[[INCENDIS]] Incendis. Es disposa de l’informe favorable de prevenció i seguretat en matèria d’incendis emès per la Direcció General de Prevenció, Extinció d'Incendis i Salvaments (DGPEIS).</w:t>
      </w:r>
    </w:p>
    <w:p>
      <w:pPr>
        <w:pStyle w:val="ListParagraph"/>
      </w:pPr>
      <w:r>
        <w:rPr>
          <w:rFonts w:ascii="Bookman Old Style" w:hAnsi="Bookman Old Style"/>
        </w:rPr>
        <w:t>[[PAU_CAT]] Pla d’Autoprotecció. Es disposa del certificat d’homologació del Pla d’Autoprotecció per part de Protecció civil de Catalunya.</w:t>
      </w:r>
    </w:p>
    <w:p>
      <w:pPr>
        <w:pStyle w:val="ListParagraph"/>
      </w:pPr>
      <w:r>
        <w:rPr>
          <w:rFonts w:ascii="Bookman Old Style" w:hAnsi="Bookman Old Style"/>
        </w:rPr>
        <w:t>[[PAU_LOCAL]] Pla d’Autoprotecció. Es disposa del certificat d’homologació del Pla d’Autoprotecció per part de Protecció civil local.</w:t>
      </w:r>
    </w:p>
    <w:p>
      <w:pPr>
        <w:pStyle w:val="ListParagraph"/>
      </w:pPr>
      <w:r>
        <w:rPr>
          <w:rFonts w:ascii="Bookman Old Style" w:hAnsi="Bookman Old Style"/>
        </w:rPr>
        <w:t>[[RC]] Responsabilitat Civil. Es disposa de la pòlissa d’assegurança de responsabilitat civil, juntament amb el seu corresponent rebut, per la quantia mínima de {{RC_IMPORT}} €. Les garanties i sumes assegurades, indicades a la pòlissa d'assegurança de responsabilitat civil, ho seran per sinistre, amb un sublímit mínim per víctima de 150.000 €.</w:t>
      </w:r>
    </w:p>
    <w:p>
      <w:pPr>
        <w:pStyle w:val="ListParagraph"/>
      </w:pPr>
      <w:r>
        <w:rPr>
          <w:rFonts w:ascii="Bookman Old Style" w:hAnsi="Bookman Old Style"/>
        </w:rPr>
        <w:t>[[ASSIST_FARMACIOLA]] Assistència sanitària. Es disposarà dels dispositius d’assistència sanitària que consten en el Pla d’Autoprotecció homologat o, en el seu defecte, els necessaris segons l’Article 48 del DECRET 112/2010. En aquest cas s’ha de disposar d'una farmaciola amb els materials i els equips adequats per facilitar primeres cures en cas d'accident, malaltia o crisi sobtada.</w:t>
      </w:r>
    </w:p>
    <w:p>
      <w:pPr>
        <w:pStyle w:val="ListParagraph"/>
      </w:pPr>
      <w:r>
        <w:rPr>
          <w:rFonts w:ascii="Bookman Old Style" w:hAnsi="Bookman Old Style"/>
        </w:rPr>
        <w:t>[[ASSIST_INFERMERIA]] Assistència sanitària. Es disposarà dels dispositius d’assistència sanitària que consten en el Pla d’Autoprotecció homologat o, en el seu defecte, els necessaris segons l’Article 48 del DECRET 112/2010. En aquest cas s’ha de disposar d'una infermeria amb instal·lacions, materials i equips adequats per prestar els primers auxilis en cas d'accident, malaltia o crisi sobtada. La infermeria pot ser substituïda per una farmaciola i la presència de vehicles medicalitzats mentre l'establiment estigui obert al públic o l'activitat recreativa s'estigui duent a terme.</w:t>
      </w:r>
    </w:p>
    <w:p>
      <w:pPr>
        <w:pStyle w:val="ListParagraph"/>
      </w:pPr>
      <w:r>
        <w:rPr>
          <w:rFonts w:ascii="Bookman Old Style" w:hAnsi="Bookman Old Style"/>
        </w:rPr>
        <w:t>[[CONTROLADORS]] Controladors d’accés. Es disposarà d’un mínim de {{CONTROLADORS}} persones de personal de control d’accés. Aquest personal disposarà de l’habilitació per exercir aquestes funcions i estarà identificat portant de manera visible un distintiu amb la llegenda “Personal de control d’accés”.</w:t>
      </w:r>
    </w:p>
    <w:p>
      <w:pPr>
        <w:pStyle w:val="ListParagraph"/>
      </w:pPr>
      <w:r>
        <w:rPr>
          <w:rFonts w:ascii="Bookman Old Style" w:hAnsi="Bookman Old Style"/>
        </w:rPr>
        <w:t>[[VIGILANTS]] Seguretat privada. Es disposarà d’un mínim de {{VIGILANTS}} vigilants de seguretat privada.</w:t>
      </w:r>
    </w:p>
    <w:p>
      <w:pPr>
        <w:pStyle w:val="ListParagraph"/>
      </w:pPr>
      <w:r>
        <w:rPr>
          <w:rFonts w:ascii="Bookman Old Style" w:hAnsi="Bookman Old Style"/>
        </w:rPr>
        <w:t>[[SERVEIS_HIGIENE]] Serveis d’higiene. Es disposarà d’un mínim de {{LAVABOS}} lavabos i {{CABINES}} cabines de vàter.</w:t>
      </w:r>
    </w:p>
    <w:p>
      <w:pPr>
        <w:pStyle w:val="ListParagraph"/>
      </w:pPr>
      <w:r>
        <w:rPr>
          <w:rFonts w:ascii="Bookman Old Style" w:hAnsi="Bookman Old Style"/>
        </w:rPr>
        <w:t>[[DISPONIBILITAT_ESPAI]] S’acredita la disponibilitat de l’espai.</w:t>
      </w:r>
    </w:p>
    <w:p>
      <w:pPr>
        <w:pStyle w:val="ListParagraph"/>
      </w:pPr>
      <w:r>
        <w:rPr>
          <w:rFonts w:ascii="Bookman Old Style" w:hAnsi="Bookman Old Style"/>
        </w:rPr>
        <w:t>[[FIXEDEND]] Es prohibeix l'emissió de qualsevol senyal lumínica amb punts de llum, punters làser o objectes anàlegs que puguin alterar o destorbar la navegació aèria.</w:t>
      </w:r>
    </w:p>
    <w:p>
      <w:r>
        <w:rPr>
          <w:rFonts w:ascii="Bookman Old Style" w:hAnsi="Bookman Old Style"/>
        </w:rPr>
        <w:t>Abans de l’inici de l’activitat extraordinària de caràcter esporàdic:</w:t>
      </w:r>
    </w:p>
    <w:p>
      <w:pPr>
        <w:pStyle w:val="ListParagraph"/>
      </w:pPr>
      <w:r>
        <w:rPr>
          <w:rFonts w:ascii="Bookman Old Style" w:hAnsi="Bookman Old Style"/>
        </w:rPr>
        <w:t>S’haurà de presentar al Registre Municipal abans de l’inici de l’activitat:</w:t>
      </w:r>
    </w:p>
    <w:p>
      <w:pPr>
        <w:pStyle w:val="ListParagraph"/>
      </w:pPr>
      <w:r>
        <w:rPr>
          <w:rFonts w:ascii="Bookman Old Style" w:hAnsi="Bookman Old Style"/>
        </w:rPr>
        <w:t>&gt; Certificat d'instal·lació elèctrica i de muntatge signat electrònicament per un tècnic competent o una entitat col·laboradora de l’Administració, en el que es faci constar que el conjunt de les instal·lacions no permanents desmuntables funcionen correctament i complint amb la normativa vigent, d’acord amb l’article 39 del Decret 112/2010, de 31 d’agost, pel qual s’aprova el Reglament d’Espectacles Públics i Activitats Recreatives.</w:t>
      </w:r>
    </w:p>
    <w:p>
      <w:pPr>
        <w:pStyle w:val="ListParagraph"/>
      </w:pPr>
      <w:r>
        <w:rPr>
          <w:rFonts w:ascii="Bookman Old Style" w:hAnsi="Bookman Old Style"/>
        </w:rPr>
        <w:t>&gt; Control inicial favorable signat electrònicament per un tècnic competent, en el que es faci constar que la documentació tècnica presentada és suficient i correcta, de la mateixa manera que les característiques de l’activitat són les adients, també d’acord amb l’article 39 del Decret 112/2010, de 31 d’agost, pel qual s’aprova el Reglament d’Espectacles Públics i Activitats Recreatives.</w:t>
      </w:r>
    </w:p>
    <w:p>
      <w:pPr>
        <w:pStyle w:val="ListParagraph"/>
      </w:pPr>
      <w:r>
        <w:rPr>
          <w:rFonts w:ascii="Bookman Old Style" w:hAnsi="Bookman Old Style"/>
        </w:rPr>
        <w:t>&gt; Certificats de reacció al foc dels elements decoratius instal·lats que no pertanyen a la pròpia llicència de l’establiment, en compliment amb el CTE DB SI 1 Apartat 4 Reacció al foc dels elements constructius, decoratius i de mobiliari.</w:t>
      </w:r>
    </w:p>
    <w:p>
      <w:pPr>
        <w:pStyle w:val="ListParagraph"/>
      </w:pPr>
      <w:r>
        <w:rPr>
          <w:rFonts w:ascii="Bookman Old Style" w:hAnsi="Bookman Old Style"/>
        </w:rPr>
        <w:t>Les instal·lacions de l’establiment disposaran de les pertinents inspeccions i revisions periòdiques.</w:t>
      </w:r>
    </w:p>
    <w:p>
      <w:pPr>
        <w:pStyle w:val="ListParagraph"/>
      </w:pPr>
      <w:r>
        <w:rPr>
          <w:rFonts w:ascii="Bookman Old Style" w:hAnsi="Bookman Old Style"/>
        </w:rPr>
        <w:t>Es disposarà dels extintors necessaris a les zones on es puguin ubicar instal·lacions com l’escenari, equips de so, casetes de venta entrades, etc.</w:t>
      </w:r>
    </w:p>
    <w:p>
      <w:r>
        <w:rPr>
          <w:rFonts w:ascii="Bookman Old Style" w:hAnsi="Bookman Old Style"/>
        </w:rPr>
        <w:t>CONDICIONANTS LLICÈNCIA</w:t>
      </w:r>
    </w:p>
    <w:p>
      <w:r>
        <w:rPr>
          <w:rFonts w:ascii="Bookman Old Style" w:hAnsi="Bookman Old Style"/>
        </w:rPr>
        <w:t>El titular és responsable d’executar i mantenir les mesures de seguretat indicades en la memòria, en el Pla d’Autoprotecció i les previstes en la documentació tècnica, establertes per la reglamentació d’aplicació segons escaigui, i de donar compliment als límits acústics exteriors establerts per l’Ajuntament de Cornellà de Llobregat.</w:t>
      </w:r>
    </w:p>
    <w:p>
      <w:r>
        <w:rPr>
          <w:rFonts w:ascii="Bookman Old Style" w:hAnsi="Bookman Old Style"/>
        </w:rPr>
        <w:t>Ho poso al seu coneixement als efectes oportuns,</w:t>
      </w:r>
    </w:p>
    <w:p>
      <w:r>
        <w:rPr>
          <w:rFonts w:ascii="Bookman Old Style" w:hAnsi="Bookman Old Style"/>
        </w:rPr>
        <w:t>Cornellà de Llobregat,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