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rPr>
          <w:rFonts w:ascii="Arial" w:hAnsi="Arial"/>
          <w:b/>
          <w:color w:val="000000"/>
          <w:sz w:val="36"/>
        </w:rPr>
        <w:t>Sistema de Gerenciamento de Estoque Tributável</w:t>
      </w:r>
    </w:p>
    <w:p>
      <w:pPr>
        <w:spacing w:after="360"/>
        <w:jc w:val="center"/>
      </w:pPr>
      <w:r>
        <w:rPr>
          <w:rFonts w:ascii="Arial" w:hAnsi="Arial"/>
          <w:b w:val="0"/>
          <w:color w:val="000000"/>
          <w:sz w:val="24"/>
        </w:rPr>
        <w:t>Projeto Integrador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Contexto do Projeto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Pequenos comércios precisam controlar produtos, pessoas responsáveis e vendas, além de conhecer a tributação que pode incidir sobre cada operação. O sistema é executado no terminal e permite cadastrar funcionários, clientes identificados por CPF e produtos, registrando entradas, saídas, estoque mínimo e alíquotas tributárias por produto.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Objetivos do Projeto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Cadastrar e listar funcionários, clientes e produtos.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Registrar entradas com funcionário responsável e vendas para clientes cadastrados.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Impedir estoque negativo, CPF inválido, códigos repetidos e opções inválidas.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Alertar os itens no estoque mínimo.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Cadastrar uma alíquota tributária individual para cada produto.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Calcular o valor do estoque e o tributo estimado por produto e no total.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Diferencial do Sistema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O diferencial é relacionar o controle de estoque a uma matriz tributária. Em vez de aplicar uma única porcentagem para toda a loja, cada produto recebe uma alíquota cadastrada conforme sua classificação fiscal. Dessa forma, produtos de categorias diferentes podem apresentar estimativas diferentes.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Tributação no Brasil e Limites da Simulação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Não existe uma alíquota única válida para todos os produtos brasileiros. A apuração real depende, entre outros fatores, do NCM do item, estado de origem e destino, operação, regime tributário, benefícios fiscais, substituição tributária, importação e regras municipais. Por isso, o sistema é uma simulação acadêmica: ele registra a alíquota informada para cada produto e calcula uma estimativa, sem substituir contador, nota fiscal ou sistema fiscal.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Principais Tributos Relacionados a Produtos e Serviços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Tributo</w:t>
            </w:r>
          </w:p>
        </w:tc>
        <w:tc>
          <w:tcPr>
            <w:tcW w:type="dxa" w:w="4752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Quando pode incidir</w:t>
            </w:r>
          </w:p>
        </w:tc>
        <w:tc>
          <w:tcPr>
            <w:tcW w:type="dxa" w:w="3024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Alíquota no sistema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ICMS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Circulação de mercadorias; regra estadual e operação.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Cadastrada conforme NCM e UF.</w:t>
            </w:r>
          </w:p>
        </w:tc>
      </w:tr>
      <w:tr>
        <w:tc>
          <w:tcPr>
            <w:tcW w:type="dxa" w:w="1440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ICMS ST</w:t>
            </w:r>
          </w:p>
        </w:tc>
        <w:tc>
          <w:tcPr>
            <w:tcW w:type="dxa" w:w="475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Produtos sujeitos à substituição tributária.</w:t>
            </w:r>
          </w:p>
        </w:tc>
        <w:tc>
          <w:tcPr>
            <w:tcW w:type="dxa" w:w="3024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Depende de MVA, NCM e UF.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IPI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Produtos industrializados ou importados.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Depende da TIPI e NCM.</w:t>
            </w:r>
          </w:p>
        </w:tc>
      </w:tr>
      <w:tr>
        <w:tc>
          <w:tcPr>
            <w:tcW w:type="dxa" w:w="1440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PIS e Cofins</w:t>
            </w:r>
          </w:p>
        </w:tc>
        <w:tc>
          <w:tcPr>
            <w:tcW w:type="dxa" w:w="475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Receitas; regras variam por regime e produto.</w:t>
            </w:r>
          </w:p>
        </w:tc>
        <w:tc>
          <w:tcPr>
            <w:tcW w:type="dxa" w:w="3024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Considerar perfil fiscal do produto.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ISS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Prestação de serviços, não venda comum de mercadoria.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Depende do município e serviço.</w:t>
            </w:r>
          </w:p>
        </w:tc>
      </w:tr>
      <w:tr>
        <w:tc>
          <w:tcPr>
            <w:tcW w:type="dxa" w:w="1440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II</w:t>
            </w:r>
          </w:p>
        </w:tc>
        <w:tc>
          <w:tcPr>
            <w:tcW w:type="dxa" w:w="475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Importação de produtos.</w:t>
            </w:r>
          </w:p>
        </w:tc>
        <w:tc>
          <w:tcPr>
            <w:tcW w:type="dxa" w:w="3024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Depende da classificação e origem.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IE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Exportação, em hipóteses específicas.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Normalmente exige análise da operação.</w:t>
            </w:r>
          </w:p>
        </w:tc>
      </w:tr>
      <w:tr>
        <w:tc>
          <w:tcPr>
            <w:tcW w:type="dxa" w:w="1440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CIDE Combustíveis</w:t>
            </w:r>
          </w:p>
        </w:tc>
        <w:tc>
          <w:tcPr>
            <w:tcW w:type="dxa" w:w="475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Operações com combustíveis.</w:t>
            </w:r>
          </w:p>
        </w:tc>
        <w:tc>
          <w:tcPr>
            <w:tcW w:type="dxa" w:w="3024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Aplicável somente a essa categoria.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CBS e IBS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Transição da reforma tributária do consumo.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Alíquotas e regras dependem do período e da operação.</w:t>
            </w:r>
          </w:p>
        </w:tc>
      </w:tr>
      <w:tr>
        <w:tc>
          <w:tcPr>
            <w:tcW w:type="dxa" w:w="1440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Imposto Seletivo</w:t>
            </w:r>
          </w:p>
        </w:tc>
        <w:tc>
          <w:tcPr>
            <w:tcW w:type="dxa" w:w="475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Produtos prejudiciais à saúde ou ambiente, conforme lei.</w:t>
            </w:r>
          </w:p>
        </w:tc>
        <w:tc>
          <w:tcPr>
            <w:tcW w:type="dxa" w:w="3024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Produto e regra específicos.</w:t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Perfis de Produtos para Cadastro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016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888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Exemplos</w:t>
            </w:r>
          </w:p>
        </w:tc>
        <w:tc>
          <w:tcPr>
            <w:tcW w:type="dxa" w:w="3312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Campos necessários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Mercadoria geral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Roupas, eletrônicos, móveis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NCM, UF e alíquota informada.</w:t>
            </w:r>
          </w:p>
        </w:tc>
      </w:tr>
      <w:tr>
        <w:tc>
          <w:tcPr>
            <w:tcW w:type="dxa" w:w="2016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Alimentos e bebidas</w:t>
            </w:r>
          </w:p>
        </w:tc>
        <w:tc>
          <w:tcPr>
            <w:tcW w:type="dxa" w:w="3888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Arroz, bebidas, alimentos industrializados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NCM; verificar cesta básica, ICMS ST ou monofásico.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Medicamentos e higiene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Remédios, cosméticos, higiene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NCM; verificar regras específicas e benefícios.</w:t>
            </w:r>
          </w:p>
        </w:tc>
      </w:tr>
      <w:tr>
        <w:tc>
          <w:tcPr>
            <w:tcW w:type="dxa" w:w="2016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Combustíveis</w:t>
            </w:r>
          </w:p>
        </w:tc>
        <w:tc>
          <w:tcPr>
            <w:tcW w:type="dxa" w:w="3888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Gasolina, diesel, etanol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 e regras monofásicas ou CIDE.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Importados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Qualquer item adquirido do exterior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NCM, origem e II, IPI, ICMS e contribuições.</w:t>
            </w:r>
          </w:p>
        </w:tc>
      </w:tr>
      <w:tr>
        <w:tc>
          <w:tcPr>
            <w:tcW w:type="dxa" w:w="2016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Serviços</w:t>
            </w:r>
          </w:p>
        </w:tc>
        <w:tc>
          <w:tcPr>
            <w:tcW w:type="dxa" w:w="3888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Frete, manutenção, instalação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Código do serviço, município e ISS.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Regra de Cadastro da Alíquota no Sistema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Para cada produto, o usuário informa código, nome, categoria, preço, quantidade, estoque mínimo, funcionário responsável e alíquota tributária percentual. O programa calcula: tributo estimado do produto = valor em estoque x alíquota do produto / 100. O relatório soma os tributos estimados de todos os produtos.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A alíquota deve ser definida após consultar a classificação fiscal e a legislação aplicável. Como exemplo didático, uma mercadoria pode receber 18,00%, enquanto outro item pode receber 0,00%, 7,00% ou outra taxa; esses números não podem ser tratados como regra universal.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Fontes para Consulta</w:t>
      </w:r>
    </w:p>
    <w:p>
      <w:pPr>
        <w:spacing w:after="0" w:line="288" w:lineRule="auto"/>
      </w:pPr>
      <w:r>
        <w:rPr>
          <w:rFonts w:ascii="Arial" w:hAnsi="Arial"/>
          <w:b w:val="0"/>
          <w:color w:val="000000"/>
          <w:sz w:val="19"/>
        </w:rPr>
        <w:t>Receita Federal do Brasil: página de tributos e materiais sobre a Reforma Tributária do Consumo. Lei Complementar 214 de 2025, que institui IBS, CBS e Imposto Seletivo. Anexo I do Simples Nacional para comércio. Consultas estaduais de ICMS e municipais de ISS devem ser feitas conforme a localização da empresa.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