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  <w:jc w:val="center"/>
      </w:pPr>
      <w:r>
        <w:rPr>
          <w:rFonts w:ascii="Arial" w:hAnsi="Arial"/>
          <w:b/>
          <w:color w:val="000000"/>
          <w:sz w:val="36"/>
        </w:rPr>
        <w:t>Sistema de Gerenciamento de Estoque Tributável</w:t>
      </w:r>
    </w:p>
    <w:p>
      <w:pPr>
        <w:spacing w:after="360"/>
        <w:jc w:val="center"/>
      </w:pPr>
      <w:r>
        <w:rPr>
          <w:rFonts w:ascii="Arial" w:hAnsi="Arial"/>
          <w:b w:val="0"/>
          <w:color w:val="000000"/>
          <w:sz w:val="24"/>
        </w:rPr>
        <w:t>Projeto Integrador</w:t>
      </w:r>
    </w:p>
    <w:p>
      <w:pPr>
        <w:spacing w:before="240" w:after="120"/>
      </w:pPr>
      <w:r>
        <w:rPr>
          <w:rFonts w:ascii="Arial" w:hAnsi="Arial"/>
          <w:b/>
          <w:color w:val="000000"/>
          <w:sz w:val="28"/>
        </w:rPr>
        <w:t>Contexto do Projeto</w:t>
      </w:r>
    </w:p>
    <w:p>
      <w:pPr>
        <w:spacing w:after="160" w:line="288" w:lineRule="auto"/>
      </w:pPr>
      <w:r>
        <w:rPr>
          <w:rFonts w:ascii="Arial" w:hAnsi="Arial"/>
          <w:b w:val="0"/>
          <w:color w:val="000000"/>
          <w:sz w:val="21"/>
        </w:rPr>
        <w:t>O sistema será lançado inicialmente para uma loja de eletrônicos e games. Esse nicho reúne consoles, jogos, controles, acessórios, celulares, computadores e periféricos, itens que exigem controle de estoque, registro de vendas e atenção à classificação tributária.</w:t>
      </w:r>
    </w:p>
    <w:p>
      <w:pPr>
        <w:spacing w:after="160" w:line="288" w:lineRule="auto"/>
      </w:pPr>
      <w:r>
        <w:rPr>
          <w:rFonts w:ascii="Arial" w:hAnsi="Arial"/>
          <w:b w:val="0"/>
          <w:color w:val="000000"/>
          <w:sz w:val="21"/>
        </w:rPr>
        <w:t>O programa é executado no terminal e permite cadastrar funcionários, clientes identificados por CPF e produtos, registrando entradas, saídas, estoque mínimo e alíquotas tributárias por produto.</w:t>
      </w:r>
    </w:p>
    <w:p>
      <w:pPr>
        <w:spacing w:before="240" w:after="120"/>
      </w:pPr>
      <w:r>
        <w:rPr>
          <w:rFonts w:ascii="Arial" w:hAnsi="Arial"/>
          <w:b/>
          <w:color w:val="000000"/>
          <w:sz w:val="28"/>
        </w:rPr>
        <w:t>Objetivos do Projeto</w:t>
      </w:r>
    </w:p>
    <w:p>
      <w:pPr>
        <w:pStyle w:val="ListBullet"/>
        <w:spacing w:after="60"/>
      </w:pPr>
      <w:r>
        <w:rPr>
          <w:rFonts w:ascii="Arial" w:hAnsi="Arial"/>
          <w:b w:val="0"/>
          <w:color w:val="000000"/>
          <w:sz w:val="20"/>
        </w:rPr>
        <w:t>Cadastrar e listar funcionários, clientes e produtos.</w:t>
      </w:r>
    </w:p>
    <w:p>
      <w:pPr>
        <w:pStyle w:val="ListBullet"/>
        <w:spacing w:after="60"/>
      </w:pPr>
      <w:r>
        <w:rPr>
          <w:rFonts w:ascii="Arial" w:hAnsi="Arial"/>
          <w:b w:val="0"/>
          <w:color w:val="000000"/>
          <w:sz w:val="20"/>
        </w:rPr>
        <w:t>Registrar entradas com funcionário responsável e vendas para clientes cadastrados.</w:t>
      </w:r>
    </w:p>
    <w:p>
      <w:pPr>
        <w:pStyle w:val="ListBullet"/>
        <w:spacing w:after="60"/>
      </w:pPr>
      <w:r>
        <w:rPr>
          <w:rFonts w:ascii="Arial" w:hAnsi="Arial"/>
          <w:b w:val="0"/>
          <w:color w:val="000000"/>
          <w:sz w:val="20"/>
        </w:rPr>
        <w:t>Impedir estoque negativo, CPF inválido, códigos repetidos e opções inválidas.</w:t>
      </w:r>
    </w:p>
    <w:p>
      <w:pPr>
        <w:pStyle w:val="ListBullet"/>
        <w:spacing w:after="60"/>
      </w:pPr>
      <w:r>
        <w:rPr>
          <w:rFonts w:ascii="Arial" w:hAnsi="Arial"/>
          <w:b w:val="0"/>
          <w:color w:val="000000"/>
          <w:sz w:val="20"/>
        </w:rPr>
        <w:t>Alertar os itens no estoque mínimo.</w:t>
      </w:r>
    </w:p>
    <w:p>
      <w:pPr>
        <w:pStyle w:val="ListBullet"/>
        <w:spacing w:after="60"/>
      </w:pPr>
      <w:r>
        <w:rPr>
          <w:rFonts w:ascii="Arial" w:hAnsi="Arial"/>
          <w:b w:val="0"/>
          <w:color w:val="000000"/>
          <w:sz w:val="20"/>
        </w:rPr>
        <w:t>Informar se cada produto é nacional ou importado e cadastrar sua alíquota tributária individual.</w:t>
      </w:r>
    </w:p>
    <w:p>
      <w:pPr>
        <w:pStyle w:val="ListBullet"/>
        <w:spacing w:after="60"/>
      </w:pPr>
      <w:r>
        <w:rPr>
          <w:rFonts w:ascii="Arial" w:hAnsi="Arial"/>
          <w:b w:val="0"/>
          <w:color w:val="000000"/>
          <w:sz w:val="20"/>
        </w:rPr>
        <w:t>Calcular o valor do estoque e o tributo estimado por produto e no total.</w:t>
      </w:r>
    </w:p>
    <w:p>
      <w:pPr>
        <w:spacing w:before="240" w:after="120"/>
      </w:pPr>
      <w:r>
        <w:rPr>
          <w:rFonts w:ascii="Arial" w:hAnsi="Arial"/>
          <w:b/>
          <w:color w:val="000000"/>
          <w:sz w:val="28"/>
        </w:rPr>
        <w:t>Diferencial do Sistema</w:t>
      </w:r>
    </w:p>
    <w:p>
      <w:pPr>
        <w:spacing w:after="160" w:line="288" w:lineRule="auto"/>
      </w:pPr>
      <w:r>
        <w:rPr>
          <w:rFonts w:ascii="Arial" w:hAnsi="Arial"/>
          <w:b w:val="0"/>
          <w:color w:val="000000"/>
          <w:sz w:val="21"/>
        </w:rPr>
        <w:t>O diferencial é relacionar o controle de estoque de eletrônicos e games a uma matriz tributária. Em vez de aplicar uma única porcentagem para toda a loja, cada produto recebe uma alíquota cadastrada conforme sua classificação fiscal e sua origem, nacional ou importada. Dessa forma, um console, um jogo, um celular e um acessório podem apresentar estimativas diferentes.</w:t>
      </w:r>
    </w:p>
    <w:p>
      <w:pPr>
        <w:spacing w:before="240" w:after="120"/>
      </w:pPr>
      <w:r>
        <w:rPr>
          <w:rFonts w:ascii="Arial" w:hAnsi="Arial"/>
          <w:b/>
          <w:color w:val="000000"/>
          <w:sz w:val="28"/>
        </w:rPr>
        <w:t>Nicho de Lançamento</w:t>
      </w:r>
    </w:p>
    <w:p>
      <w:pPr>
        <w:spacing w:after="160" w:line="288" w:lineRule="auto"/>
      </w:pPr>
      <w:r>
        <w:rPr>
          <w:rFonts w:ascii="Arial" w:hAnsi="Arial"/>
          <w:b w:val="0"/>
          <w:color w:val="000000"/>
          <w:sz w:val="21"/>
        </w:rPr>
        <w:t>O público inicial é uma loja de eletrônicos e games. O foco em um único nicho torna o cadastro mais organizado e permite manter uma tabela fiscal específica para os itens vendidos. Em uma etapa futura, o sistema poderá receber outros nichos, como produtos domésticos, mas eles não fazem parte do escopo inicial.</w:t>
      </w:r>
    </w:p>
    <w:p>
      <w:pPr>
        <w:spacing w:before="240" w:after="120"/>
      </w:pPr>
      <w:r>
        <w:rPr>
          <w:rFonts w:ascii="Arial" w:hAnsi="Arial"/>
          <w:b/>
          <w:color w:val="000000"/>
          <w:sz w:val="28"/>
        </w:rPr>
        <w:t>Tributação no Brasil e Limites da Simulação</w:t>
      </w:r>
    </w:p>
    <w:p>
      <w:pPr>
        <w:spacing w:after="160" w:line="288" w:lineRule="auto"/>
      </w:pPr>
      <w:r>
        <w:rPr>
          <w:rFonts w:ascii="Arial" w:hAnsi="Arial"/>
          <w:b w:val="0"/>
          <w:color w:val="000000"/>
          <w:sz w:val="21"/>
        </w:rPr>
        <w:t>Não existe uma alíquota única válida para todos os produtos brasileiros. A apuração real depende, entre outros fatores, do NCM do item, estado de origem e destino, operação, regime tributário, benefícios fiscais, substituição tributária, importação e regras municipais. Por isso, o sistema é uma simulação acadêmica: ele registra a alíquota informada para cada produto e calcula uma estimativa, sem substituir contador, nota fiscal ou sistema fiscal.</w:t>
      </w:r>
    </w:p>
    <w:p>
      <w:pPr>
        <w:spacing w:before="240" w:after="120"/>
      </w:pPr>
      <w:r>
        <w:rPr>
          <w:rFonts w:ascii="Arial" w:hAnsi="Arial"/>
          <w:b/>
          <w:color w:val="000000"/>
          <w:sz w:val="28"/>
        </w:rPr>
        <w:t>Origem do Produto</w:t>
      </w:r>
    </w:p>
    <w:p>
      <w:pPr>
        <w:spacing w:after="160" w:line="288" w:lineRule="auto"/>
      </w:pPr>
      <w:r>
        <w:rPr>
          <w:rFonts w:ascii="Arial" w:hAnsi="Arial"/>
          <w:b w:val="0"/>
          <w:color w:val="000000"/>
          <w:sz w:val="21"/>
        </w:rPr>
        <w:t>No cadastro, o produto deve ser identificado como nacional ou importado. Essa informação ajuda a diferenciar itens produzidos no Brasil daqueles adquiridos do exterior e orienta a análise de tributos que podem incidir na importação, como o Imposto de Importação. A origem deve ser considerada junto com o NCM, a UF e a operação realizada.</w:t>
      </w: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000000"/>
          <w:sz w:val="28"/>
        </w:rPr>
        <w:t>Principais Tributos do Nicho de Eletrônicos e Games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Tributo</w:t>
            </w:r>
          </w:p>
        </w:tc>
        <w:tc>
          <w:tcPr>
            <w:tcW w:type="dxa" w:w="4752"/>
            <w:shd w:fill="1F4E7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Quando pode incidir</w:t>
            </w:r>
          </w:p>
        </w:tc>
        <w:tc>
          <w:tcPr>
            <w:tcW w:type="dxa" w:w="3024"/>
            <w:shd w:fill="1F4E7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Alíquota no sistema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ICMS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Venda de mercadorias, como consoles, celulares e acessórios.</w:t>
            </w:r>
          </w:p>
        </w:tc>
        <w:tc>
          <w:tcPr>
            <w:tcW w:type="dxa" w:w="3024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Depende de NCM, UF e operação.</w:t>
            </w:r>
          </w:p>
        </w:tc>
      </w:tr>
      <w:tr>
        <w:tc>
          <w:tcPr>
            <w:tcW w:type="dxa" w:w="1440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ICMS ST</w:t>
            </w:r>
          </w:p>
        </w:tc>
        <w:tc>
          <w:tcPr>
            <w:tcW w:type="dxa" w:w="4752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Itens sujeitos à substituição tributária, conforme a UF.</w:t>
            </w:r>
          </w:p>
        </w:tc>
        <w:tc>
          <w:tcPr>
            <w:tcW w:type="dxa" w:w="3024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Depende de MVA, NCM e UF.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IPI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Produtos industrializados ou importados, quando aplicável.</w:t>
            </w:r>
          </w:p>
        </w:tc>
        <w:tc>
          <w:tcPr>
            <w:tcW w:type="dxa" w:w="3024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Depende da TIPI e NCM.</w:t>
            </w:r>
          </w:p>
        </w:tc>
      </w:tr>
      <w:tr>
        <w:tc>
          <w:tcPr>
            <w:tcW w:type="dxa" w:w="1440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PIS e Cofins</w:t>
            </w:r>
          </w:p>
        </w:tc>
        <w:tc>
          <w:tcPr>
            <w:tcW w:type="dxa" w:w="4752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Receitas de venda; regras variam por regime e produto.</w:t>
            </w:r>
          </w:p>
        </w:tc>
        <w:tc>
          <w:tcPr>
            <w:tcW w:type="dxa" w:w="3024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Considerar perfil fiscal do item.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II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Console, celular ou periférico importado.</w:t>
            </w:r>
          </w:p>
        </w:tc>
        <w:tc>
          <w:tcPr>
            <w:tcW w:type="dxa" w:w="3024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Depende da classificação e origem.</w:t>
            </w:r>
          </w:p>
        </w:tc>
      </w:tr>
      <w:tr>
        <w:tc>
          <w:tcPr>
            <w:tcW w:type="dxa" w:w="1440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CBS e IBS</w:t>
            </w:r>
          </w:p>
        </w:tc>
        <w:tc>
          <w:tcPr>
            <w:tcW w:type="dxa" w:w="4752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Transição da reforma tributária do consumo.</w:t>
            </w:r>
          </w:p>
        </w:tc>
        <w:tc>
          <w:tcPr>
            <w:tcW w:type="dxa" w:w="3024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Depende do período e da operação.</w:t>
            </w:r>
          </w:p>
        </w:tc>
      </w:tr>
    </w:tbl>
    <w:p>
      <w:pPr>
        <w:spacing w:before="240" w:after="120"/>
      </w:pPr>
      <w:r>
        <w:rPr>
          <w:rFonts w:ascii="Arial" w:hAnsi="Arial"/>
          <w:b/>
          <w:color w:val="000000"/>
          <w:sz w:val="28"/>
        </w:rPr>
        <w:t>Categorias de Produtos para Cadastro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016"/>
            <w:shd w:fill="1F4E7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Perfil</w:t>
            </w:r>
          </w:p>
        </w:tc>
        <w:tc>
          <w:tcPr>
            <w:tcW w:type="dxa" w:w="3888"/>
            <w:shd w:fill="1F4E7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Exemplos</w:t>
            </w:r>
          </w:p>
        </w:tc>
        <w:tc>
          <w:tcPr>
            <w:tcW w:type="dxa" w:w="3312"/>
            <w:shd w:fill="1F4E7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Campos necessários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Consoles e games</w:t>
            </w:r>
          </w:p>
        </w:tc>
        <w:tc>
          <w:tcPr>
            <w:tcW w:type="dxa" w:w="3888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Consoles, jogos físicos e controles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NCM, UF, origem e alíquota.</w:t>
            </w:r>
          </w:p>
        </w:tc>
      </w:tr>
      <w:tr>
        <w:tc>
          <w:tcPr>
            <w:tcW w:type="dxa" w:w="2016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Celulares e tablets</w:t>
            </w:r>
          </w:p>
        </w:tc>
        <w:tc>
          <w:tcPr>
            <w:tcW w:type="dxa" w:w="3888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Smartphones, tablets e smartwatches</w:t>
            </w:r>
          </w:p>
        </w:tc>
        <w:tc>
          <w:tcPr>
            <w:tcW w:type="dxa" w:w="3312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NCM, UF, origem e alíquota.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Computadores</w:t>
            </w:r>
          </w:p>
        </w:tc>
        <w:tc>
          <w:tcPr>
            <w:tcW w:type="dxa" w:w="3888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Notebooks, desktops e monitores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NCM, UF, origem e alíquota.</w:t>
            </w:r>
          </w:p>
        </w:tc>
      </w:tr>
      <w:tr>
        <w:tc>
          <w:tcPr>
            <w:tcW w:type="dxa" w:w="2016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Periféricos</w:t>
            </w:r>
          </w:p>
        </w:tc>
        <w:tc>
          <w:tcPr>
            <w:tcW w:type="dxa" w:w="3888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Teclados, mouses, headsets e webcams</w:t>
            </w:r>
          </w:p>
        </w:tc>
        <w:tc>
          <w:tcPr>
            <w:tcW w:type="dxa" w:w="3312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NCM, UF, origem e alíquota.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Áudio e vídeo</w:t>
            </w:r>
          </w:p>
        </w:tc>
        <w:tc>
          <w:tcPr>
            <w:tcW w:type="dxa" w:w="3888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Caixas de som, TVs e câmeras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NCM, UF, origem e alíquota.</w:t>
            </w:r>
          </w:p>
        </w:tc>
      </w:tr>
      <w:tr>
        <w:tc>
          <w:tcPr>
            <w:tcW w:type="dxa" w:w="2016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Acessórios</w:t>
            </w:r>
          </w:p>
        </w:tc>
        <w:tc>
          <w:tcPr>
            <w:tcW w:type="dxa" w:w="3888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Cabos, carregadores e suportes</w:t>
            </w:r>
          </w:p>
        </w:tc>
        <w:tc>
          <w:tcPr>
            <w:tcW w:type="dxa" w:w="3312"/>
            <w:vAlign w:val="center"/>
            <w:shd w:fill="EAF2F8"/>
          </w:tcPr>
          <w:p>
            <w:r>
              <w:rPr>
                <w:rFonts w:ascii="Arial" w:hAnsi="Arial"/>
                <w:b w:val="0"/>
                <w:color w:val="000000"/>
                <w:sz w:val="17"/>
              </w:rPr>
              <w:t>NCM, UF, origem e alíquota.</w:t>
            </w:r>
          </w:p>
        </w:tc>
      </w:tr>
    </w:tbl>
    <w:p>
      <w:pPr>
        <w:spacing w:before="240" w:after="120"/>
      </w:pPr>
      <w:r>
        <w:rPr>
          <w:rFonts w:ascii="Arial" w:hAnsi="Arial"/>
          <w:b/>
          <w:color w:val="000000"/>
          <w:sz w:val="28"/>
        </w:rPr>
        <w:t>Regra de Cadastro da Alíquota no Sistema</w:t>
      </w:r>
    </w:p>
    <w:p>
      <w:pPr>
        <w:spacing w:after="160" w:line="288" w:lineRule="auto"/>
      </w:pPr>
      <w:r>
        <w:rPr>
          <w:rFonts w:ascii="Arial" w:hAnsi="Arial"/>
          <w:b w:val="0"/>
          <w:color w:val="000000"/>
          <w:sz w:val="21"/>
        </w:rPr>
        <w:t>Para cada produto do nicho, o usuário informa código, nome, categoria, origem nacional ou importada, preço, quantidade, estoque mínimo, funcionário responsável e alíquota tributária percentual. O programa calcula: tributo estimado do produto = valor em estoque x alíquota do produto / 100. O relatório soma os tributos estimados de todos os produtos.</w:t>
      </w:r>
    </w:p>
    <w:p>
      <w:pPr>
        <w:spacing w:after="160" w:line="288" w:lineRule="auto"/>
      </w:pPr>
      <w:r>
        <w:rPr>
          <w:rFonts w:ascii="Arial" w:hAnsi="Arial"/>
          <w:b w:val="0"/>
          <w:color w:val="000000"/>
          <w:sz w:val="21"/>
        </w:rPr>
        <w:t>A alíquota deve ser definida após consultar NCM, origem, UF e legislação aplicável. Como exemplo didático, um console importado pode receber uma análise diferente de um carregador nacional; esses números não podem ser tratados como regra universal para toda a categoria.</w:t>
      </w:r>
    </w:p>
    <w:p>
      <w:pPr>
        <w:spacing w:before="240" w:after="120"/>
      </w:pPr>
      <w:r>
        <w:rPr>
          <w:rFonts w:ascii="Arial" w:hAnsi="Arial"/>
          <w:b/>
          <w:color w:val="000000"/>
          <w:sz w:val="28"/>
        </w:rPr>
        <w:t>Fontes para Consulta</w:t>
      </w:r>
    </w:p>
    <w:p>
      <w:pPr>
        <w:spacing w:after="0" w:line="288" w:lineRule="auto"/>
      </w:pPr>
      <w:r>
        <w:rPr>
          <w:rFonts w:ascii="Arial" w:hAnsi="Arial"/>
          <w:b w:val="0"/>
          <w:color w:val="000000"/>
          <w:sz w:val="19"/>
        </w:rPr>
        <w:t>Receita Federal do Brasil: página de tributos e materiais sobre a Reforma Tributária do Consumo. Lei Complementar 214 de 2025, que institui IBS, CBS e Imposto Seletivo. Anexo I do Simples Nacional para comércio. Consultas estaduais de ICMS e municipais de ISS devem ser feitas conforme a localização da empresa.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