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2" w:rsidRPr="00DB26B9" w:rsidRDefault="00A53672" w:rsidP="00DB26B9">
      <w:pPr>
        <w:jc w:val="center"/>
        <w:rPr>
          <w:sz w:val="20"/>
        </w:rPr>
      </w:pPr>
      <w:r w:rsidRPr="00DB26B9">
        <w:rPr>
          <w:b/>
          <w:sz w:val="32"/>
        </w:rPr>
        <w:t xml:space="preserve">RL </w:t>
      </w:r>
      <w:r w:rsidR="00DB26B9" w:rsidRPr="00DB26B9">
        <w:rPr>
          <w:b/>
          <w:sz w:val="32"/>
        </w:rPr>
        <w:t>algorithms paper</w:t>
      </w:r>
      <w:r w:rsidRPr="00DB26B9">
        <w:rPr>
          <w:b/>
          <w:sz w:val="32"/>
        </w:rPr>
        <w:t xml:space="preserve"> list</w:t>
      </w:r>
    </w:p>
    <w:p w:rsidR="00A53672" w:rsidRPr="00DB26B9" w:rsidRDefault="00DB26B9" w:rsidP="00DB26B9">
      <w:pPr>
        <w:jc w:val="center"/>
        <w:rPr>
          <w:b/>
          <w:sz w:val="20"/>
        </w:rPr>
      </w:pPr>
      <w:r w:rsidRPr="00DB26B9">
        <w:rPr>
          <w:b/>
          <w:sz w:val="24"/>
        </w:rPr>
        <w:t>Nips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Z. Song, R. Parr, X. Liao, and L.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Carin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“Linear Feature Encoding for Reinforcement Learning,” no. Nips,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[2]</w:t>
      </w:r>
      <w:r w:rsidRPr="00DB26B9">
        <w:rPr>
          <w:rFonts w:ascii="Times New Roman" w:eastAsia="Times New Roman" w:hAnsi="Times New Roman" w:cs="Times New Roman"/>
          <w:szCs w:val="24"/>
        </w:rPr>
        <w:tab/>
        <w:t>A. Krishnamurthy and J. Langford, “PAC Reinforcement Learning with Rich Observations,” no. Nips, pp. 1–9,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[3]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A. Tamar, “Policy Gradient for Coherent Risk Measures,”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 28 (NIPS 2015)</w:t>
      </w:r>
      <w:r w:rsidRPr="00DB26B9">
        <w:rPr>
          <w:rFonts w:ascii="Times New Roman" w:eastAsia="Times New Roman" w:hAnsi="Times New Roman" w:cs="Times New Roman"/>
          <w:szCs w:val="24"/>
        </w:rPr>
        <w:t>, pp. 1–9,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[4]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G.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Comanici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“Basis Refinement Strategies for Linear Value Function Approximation in MDPs,”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 28 (NIPS 2015)</w:t>
      </w:r>
      <w:r w:rsidRPr="00DB26B9">
        <w:rPr>
          <w:rFonts w:ascii="Times New Roman" w:eastAsia="Times New Roman" w:hAnsi="Times New Roman" w:cs="Times New Roman"/>
          <w:szCs w:val="24"/>
        </w:rPr>
        <w:t>, pp. 1–9,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[5]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C.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Dann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and E.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Brunskill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“Sample Complexity of Episodic Fixed-Horizon Reinforcement Learning,”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1–9,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[6]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M.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Kobilarov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“Sample Complexity Bounds for Iterative Stochastic Policy Optimization,”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3096–3104,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[7]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A. R. Mahmood, H. van Hasselt, and R. S. Sutton, “Weighted importance sampling for off-policy learning with linear function approximation,”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Proc. 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1–12, 2014.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[8]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B.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Szörényi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G.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Kedenburg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and R.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Munos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“Optimistic planning in Markov decision processes using a generative model,”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Nips</w:t>
      </w:r>
      <w:r w:rsidRPr="00DB26B9">
        <w:rPr>
          <w:rFonts w:ascii="Times New Roman" w:eastAsia="Times New Roman" w:hAnsi="Times New Roman" w:cs="Times New Roman"/>
          <w:szCs w:val="24"/>
        </w:rPr>
        <w:t>, pp. 1–9, 2014.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[9]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I.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Osband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and B. Van Roy, “Near-optimal Reinforcement Learning in Factored MDPs,”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1–13, 2014.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[10]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I.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Osband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and B. Van Roy, “Model-based Reinforcement Learning and the Eluder Dimension,”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1–9, 2014.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[11]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M.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Petrik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“RAAM : The Benefits of Robustness in Approximating Aggregated MDPs in Reinforcement Learning,”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pp. 1–9, 2014.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[12]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B. Piot, M. Geist, and O.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Pietquin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“Difference of Convex Functions Programming for Reinforcement Learning,”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Process. Syst.</w:t>
      </w:r>
      <w:r w:rsidRPr="00DB26B9">
        <w:rPr>
          <w:rFonts w:ascii="Times New Roman" w:eastAsia="Times New Roman" w:hAnsi="Times New Roman" w:cs="Times New Roman"/>
          <w:szCs w:val="24"/>
        </w:rPr>
        <w:t>, vol. 2958, pp. 2519–2527, 2014.</w:t>
      </w:r>
    </w:p>
    <w:p w:rsidR="00A33933" w:rsidRPr="00DB26B9" w:rsidRDefault="00DB26B9" w:rsidP="00DB26B9">
      <w:pPr>
        <w:rPr>
          <w:sz w:val="20"/>
        </w:rPr>
      </w:pPr>
      <w:r w:rsidRPr="00DB26B9">
        <w:rPr>
          <w:rFonts w:ascii="Times New Roman" w:eastAsia="Times New Roman" w:hAnsi="Times New Roman" w:cs="Times New Roman"/>
          <w:szCs w:val="24"/>
        </w:rPr>
        <w:t>[13]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O.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Maillard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T. Mann, and S.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Mannor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“How hard is my MDP</w:t>
      </w:r>
      <w:proofErr w:type="gramStart"/>
      <w:r w:rsidRPr="00DB26B9">
        <w:rPr>
          <w:rFonts w:ascii="Times New Roman" w:eastAsia="Times New Roman" w:hAnsi="Times New Roman" w:cs="Times New Roman"/>
          <w:szCs w:val="24"/>
        </w:rPr>
        <w:t>?‘</w:t>
      </w:r>
      <w:proofErr w:type="gramEnd"/>
      <w:r w:rsidRPr="00DB26B9">
        <w:rPr>
          <w:rFonts w:ascii="Times New Roman" w:eastAsia="Times New Roman" w:hAnsi="Times New Roman" w:cs="Times New Roman"/>
          <w:szCs w:val="24"/>
        </w:rPr>
        <w:t xml:space="preserve"> The distribution-norm to the rescue,’”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Adv. Neural Inf. …</w:t>
      </w:r>
      <w:r w:rsidRPr="00DB26B9">
        <w:rPr>
          <w:rFonts w:ascii="Times New Roman" w:eastAsia="Times New Roman" w:hAnsi="Times New Roman" w:cs="Times New Roman"/>
          <w:szCs w:val="24"/>
        </w:rPr>
        <w:t>, pp. 1–9, 2014.</w:t>
      </w:r>
    </w:p>
    <w:p w:rsidR="00DB26B9" w:rsidRDefault="00DB26B9">
      <w:pPr>
        <w:rPr>
          <w:sz w:val="20"/>
        </w:rPr>
      </w:pPr>
      <w:r>
        <w:rPr>
          <w:sz w:val="20"/>
        </w:rPr>
        <w:br w:type="page"/>
      </w:r>
    </w:p>
    <w:p w:rsidR="00DB26B9" w:rsidRPr="00DB26B9" w:rsidRDefault="00A33933" w:rsidP="00DB26B9">
      <w:pPr>
        <w:jc w:val="center"/>
        <w:rPr>
          <w:b/>
          <w:sz w:val="24"/>
        </w:rPr>
      </w:pPr>
      <w:proofErr w:type="spellStart"/>
      <w:r w:rsidRPr="00DB26B9">
        <w:rPr>
          <w:b/>
          <w:sz w:val="24"/>
        </w:rPr>
        <w:lastRenderedPageBreak/>
        <w:t>I</w:t>
      </w:r>
      <w:r w:rsidRPr="00DB26B9">
        <w:rPr>
          <w:rFonts w:hint="eastAsia"/>
          <w:b/>
          <w:sz w:val="24"/>
        </w:rPr>
        <w:t>cml</w:t>
      </w:r>
      <w:bookmarkStart w:id="0" w:name="_GoBack"/>
      <w:bookmarkEnd w:id="0"/>
      <w:proofErr w:type="spellEnd"/>
    </w:p>
    <w:p w:rsidR="00DB26B9" w:rsidRPr="00DB26B9" w:rsidRDefault="00DB26B9" w:rsidP="00DB26B9">
      <w:pPr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K.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Lakshmanan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R.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Ortner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and D.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Ryabko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“Improved Regret Bounds for Undiscounted Continuous Reinforcement Learning.”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[2]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B. Lesner and B.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Scherrer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BRUNOSCHERRER, “Non-Stationary Approximate Modified Policy Iteration.”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[3]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H.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Bou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Ammar, R.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Tutunov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and E. Eaton, “Safe Policy Search for Lifelong Reinforcement Learning with Sublinear Regret.”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[4]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Z. Qin, W. Li, and F.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Janoos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“Sparse Reinforcement Learning via Convex Optimization.”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[5]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B.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Scherrer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BRUNOSCHERRER, “Approximate Policy Iteration Schemes: A Comparison.”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[6]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T. A. Mann, “Scaling Up Approximate Value Iteration with Options: Better Policies with Fewer Iterations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Shie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Mannor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[7]</w:t>
      </w:r>
      <w:r w:rsidRPr="00DB26B9">
        <w:rPr>
          <w:rFonts w:ascii="Times New Roman" w:eastAsia="Times New Roman" w:hAnsi="Times New Roman" w:cs="Times New Roman"/>
          <w:szCs w:val="24"/>
        </w:rPr>
        <w:tab/>
        <w:t>R. C. Grande, T. J. Walsh, and J. P. How, “Sample Efficient Reinforcement Learning with Gaussian Processes.”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[8]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A. Tamar, S.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Mannor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and H. Xu, “Scaling </w:t>
      </w:r>
      <w:proofErr w:type="gramStart"/>
      <w:r w:rsidRPr="00DB26B9">
        <w:rPr>
          <w:rFonts w:ascii="Times New Roman" w:eastAsia="Times New Roman" w:hAnsi="Times New Roman" w:cs="Times New Roman"/>
          <w:szCs w:val="24"/>
        </w:rPr>
        <w:t>Up</w:t>
      </w:r>
      <w:proofErr w:type="gramEnd"/>
      <w:r w:rsidRPr="00DB26B9">
        <w:rPr>
          <w:rFonts w:ascii="Times New Roman" w:eastAsia="Times New Roman" w:hAnsi="Times New Roman" w:cs="Times New Roman"/>
          <w:szCs w:val="24"/>
        </w:rPr>
        <w:t xml:space="preserve"> Robust MDPs using Function Approximation.”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[9]</w:t>
      </w:r>
      <w:r w:rsidRPr="00DB26B9">
        <w:rPr>
          <w:rFonts w:ascii="Times New Roman" w:eastAsia="Times New Roman" w:hAnsi="Times New Roman" w:cs="Times New Roman"/>
          <w:szCs w:val="24"/>
        </w:rPr>
        <w:tab/>
        <w:t>Z. Zhang and D. Hsu, “Covering Number for Efficient Heuristic-Based POMDP Planning.”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[10]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T. Dick, A.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György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C.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Szepesvári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and S. Ca, “Online Learning in Markov Decision Processes with Changing Cost Sequences.”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[11]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P. S. Thomas and E.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Brunskill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“Data-Efficient Off-Policy Policy Evaluation for Reinforcement Learning,”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>arXiv1604.00923 [</w:t>
      </w:r>
      <w:proofErr w:type="spell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cs</w:t>
      </w:r>
      <w:proofErr w:type="spellEnd"/>
      <w:r w:rsidRPr="00DB26B9">
        <w:rPr>
          <w:rFonts w:ascii="Times New Roman" w:eastAsia="Times New Roman" w:hAnsi="Times New Roman" w:cs="Times New Roman"/>
          <w:i/>
          <w:iCs/>
          <w:szCs w:val="24"/>
        </w:rPr>
        <w:t>]</w:t>
      </w:r>
      <w:r w:rsidRPr="00DB26B9">
        <w:rPr>
          <w:rFonts w:ascii="Times New Roman" w:eastAsia="Times New Roman" w:hAnsi="Times New Roman" w:cs="Times New Roman"/>
          <w:szCs w:val="24"/>
        </w:rPr>
        <w:t>, vol. 48,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[12]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J.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Pérolat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B. Piot BILALPIOT, F.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Matthieu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Geist, C. Bruno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Scherrer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BRUNOSCHERRER, and I. Olivier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Pietquin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“Softened Approximate Policy Iteration for Markov Games,” vol. 48,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[13]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B.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Balle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M.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Gomrokchi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and D.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Precup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“Differentially Private Policy Evaluation,” </w:t>
      </w:r>
      <w:proofErr w:type="spell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arXiv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vol. 48, pp. 1–27,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[14]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J. Ho, J. K. Gupta, and S.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Ermon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“Model-Free Imitation Learning with Policy Optimization,” </w:t>
      </w:r>
      <w:proofErr w:type="spell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Icml</w:t>
      </w:r>
      <w:proofErr w:type="spellEnd"/>
      <w:r w:rsidRPr="00DB26B9">
        <w:rPr>
          <w:rFonts w:ascii="Times New Roman" w:eastAsia="Times New Roman" w:hAnsi="Times New Roman" w:cs="Times New Roman"/>
          <w:i/>
          <w:iCs/>
          <w:szCs w:val="24"/>
        </w:rPr>
        <w:t xml:space="preserve"> 2016</w:t>
      </w:r>
      <w:r w:rsidRPr="00DB26B9">
        <w:rPr>
          <w:rFonts w:ascii="Times New Roman" w:eastAsia="Times New Roman" w:hAnsi="Times New Roman" w:cs="Times New Roman"/>
          <w:szCs w:val="24"/>
        </w:rPr>
        <w:t>, vol. 48, 2016.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[15]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N. Jiang and L. Li, “Doubly Robust Off-policy Value Evaluation for Reinforcement Learning,” </w:t>
      </w:r>
      <w:proofErr w:type="spell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Icml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vol. 48, p. 14,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[16]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L. A.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Prashanth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, J. Cheng, M. Fu, S. Marcus, and L. G. Jun, “Cumulative Prospect Theory Meets Reinforcement Learning : Estimation and Control,” </w:t>
      </w:r>
      <w:r w:rsidRPr="00DB26B9">
        <w:rPr>
          <w:rFonts w:ascii="Times New Roman" w:eastAsia="Times New Roman" w:hAnsi="Times New Roman" w:cs="Times New Roman"/>
          <w:i/>
          <w:iCs/>
          <w:szCs w:val="24"/>
        </w:rPr>
        <w:t xml:space="preserve">Work. </w:t>
      </w:r>
      <w:proofErr w:type="gram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Pap.</w:t>
      </w:r>
      <w:r w:rsidRPr="00DB26B9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DB26B9">
        <w:rPr>
          <w:rFonts w:ascii="Times New Roman" w:eastAsia="Times New Roman" w:hAnsi="Times New Roman" w:cs="Times New Roman"/>
          <w:szCs w:val="24"/>
        </w:rPr>
        <w:t xml:space="preserve"> vol. 48, pp. 1–27, 2015.</w:t>
      </w:r>
    </w:p>
    <w:p w:rsidR="00DB26B9" w:rsidRPr="00DB26B9" w:rsidRDefault="00DB26B9" w:rsidP="00DB26B9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Cs w:val="24"/>
        </w:rPr>
      </w:pPr>
      <w:r w:rsidRPr="00DB26B9">
        <w:rPr>
          <w:rFonts w:ascii="Times New Roman" w:eastAsia="Times New Roman" w:hAnsi="Times New Roman" w:cs="Times New Roman"/>
          <w:szCs w:val="24"/>
        </w:rPr>
        <w:t>[17]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N. Jiang and L. Li, “Doubly Robust Off-policy Value Evaluation for Reinforcement Learning,” </w:t>
      </w:r>
      <w:proofErr w:type="spellStart"/>
      <w:r w:rsidRPr="00DB26B9">
        <w:rPr>
          <w:rFonts w:ascii="Times New Roman" w:eastAsia="Times New Roman" w:hAnsi="Times New Roman" w:cs="Times New Roman"/>
          <w:i/>
          <w:iCs/>
          <w:szCs w:val="24"/>
        </w:rPr>
        <w:t>Icml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>, vol. 48, p. 14, 2015.</w:t>
      </w:r>
    </w:p>
    <w:p w:rsidR="00A53672" w:rsidRPr="00DB26B9" w:rsidRDefault="00DB26B9" w:rsidP="00DB26B9">
      <w:pPr>
        <w:rPr>
          <w:sz w:val="20"/>
        </w:rPr>
      </w:pPr>
      <w:r w:rsidRPr="00DB26B9">
        <w:rPr>
          <w:rFonts w:ascii="Times New Roman" w:eastAsia="Times New Roman" w:hAnsi="Times New Roman" w:cs="Times New Roman"/>
          <w:szCs w:val="24"/>
        </w:rPr>
        <w:t>[18]</w:t>
      </w:r>
      <w:r w:rsidRPr="00DB26B9">
        <w:rPr>
          <w:rFonts w:ascii="Times New Roman" w:eastAsia="Times New Roman" w:hAnsi="Times New Roman" w:cs="Times New Roman"/>
          <w:szCs w:val="24"/>
        </w:rPr>
        <w:tab/>
        <w:t xml:space="preserve">E. </w:t>
      </w:r>
      <w:proofErr w:type="spellStart"/>
      <w:r w:rsidRPr="00DB26B9">
        <w:rPr>
          <w:rFonts w:ascii="Times New Roman" w:eastAsia="Times New Roman" w:hAnsi="Times New Roman" w:cs="Times New Roman"/>
          <w:szCs w:val="24"/>
        </w:rPr>
        <w:t>Brunskill</w:t>
      </w:r>
      <w:proofErr w:type="spellEnd"/>
      <w:r w:rsidRPr="00DB26B9">
        <w:rPr>
          <w:rFonts w:ascii="Times New Roman" w:eastAsia="Times New Roman" w:hAnsi="Times New Roman" w:cs="Times New Roman"/>
          <w:szCs w:val="24"/>
        </w:rPr>
        <w:t xml:space="preserve"> and L. Li, “PAC-inspired Option Discovery in Lifelong Reinforcement Learning,” 2014.</w:t>
      </w:r>
    </w:p>
    <w:sectPr w:rsidR="00A53672" w:rsidRPr="00DB26B9" w:rsidSect="00DB26B9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CB"/>
    <w:rsid w:val="00236551"/>
    <w:rsid w:val="00A33933"/>
    <w:rsid w:val="00A53672"/>
    <w:rsid w:val="00DB26B9"/>
    <w:rsid w:val="00F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C3D"/>
  <w15:chartTrackingRefBased/>
  <w15:docId w15:val="{CDFFD583-26CC-42BD-AC60-63E2C8E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F49B35-9DD0-4352-8413-6D6D4A37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(MSR Student-Person Consulting)</dc:creator>
  <cp:keywords/>
  <dc:description/>
  <cp:lastModifiedBy>Yue Wang (MSR Student-Person Consulting)</cp:lastModifiedBy>
  <cp:revision>2</cp:revision>
  <dcterms:created xsi:type="dcterms:W3CDTF">2017-03-02T06:43:00Z</dcterms:created>
  <dcterms:modified xsi:type="dcterms:W3CDTF">2017-03-02T11:04:00Z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http://www.zotero.org/styles/chinese-gb7714-1987-numeric</vt:lpwstr>
  </property>
  <property fmtid="{D5CDD505-2E9C-101B-9397-08002B2CF9AE}" pid="11" name="Mendeley Recent Style Name 4_1">
    <vt:lpwstr>Chinese Std GB/T 7714-1987 (numeric, Chinese)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76a82ee3-f99a-35be-95e5-a756afcd1baa</vt:lpwstr>
  </property>
  <property fmtid="{D5CDD505-2E9C-101B-9397-08002B2CF9AE}" pid="24" name="Mendeley Citation Style_1">
    <vt:lpwstr>http://www.zotero.org/styles/ieee</vt:lpwstr>
  </property>
</Properties>
</file>