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MS Mincho"/>
          <w:b/>
          <w:bCs/>
          <w:sz w:val="48"/>
          <w:szCs w:val="48"/>
          <w:lang w:val="en-US" w:eastAsia="ja-JP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▲对比</w:t>
      </w:r>
      <w:r>
        <w:rPr>
          <w:rFonts w:hint="eastAsia" w:eastAsia="MS Mincho"/>
          <w:b/>
          <w:bCs/>
          <w:sz w:val="48"/>
          <w:szCs w:val="48"/>
          <w:lang w:val="en-US" w:eastAsia="ja-JP"/>
        </w:rPr>
        <w:t>「には、のに、ために」</w:t>
      </w:r>
    </w:p>
    <w:p>
      <w:pPr>
        <w:bidi w:val="0"/>
        <w:jc w:val="center"/>
        <w:rPr>
          <w:rFonts w:hint="eastAsia" w:eastAsia="MS Mincho"/>
          <w:b/>
          <w:bCs/>
          <w:sz w:val="48"/>
          <w:szCs w:val="48"/>
          <w:lang w:val="en-US" w:eastAsia="ja-JP"/>
        </w:rPr>
      </w:pP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69"/>
        <w:gridCol w:w="2667"/>
        <w:gridCol w:w="2590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表示目的</w:t>
            </w:r>
          </w:p>
        </w:tc>
        <w:tc>
          <w:tcPr>
            <w:tcW w:w="2670" w:type="dxa"/>
          </w:tcPr>
          <w:p>
            <w:pPr>
              <w:bidi w:val="0"/>
              <w:jc w:val="center"/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  <w:t>には</w:t>
            </w:r>
          </w:p>
        </w:tc>
        <w:tc>
          <w:tcPr>
            <w:tcW w:w="2671" w:type="dxa"/>
          </w:tcPr>
          <w:p>
            <w:pPr>
              <w:bidi w:val="0"/>
              <w:jc w:val="center"/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  <w:t>のに</w:t>
            </w:r>
          </w:p>
        </w:tc>
        <w:tc>
          <w:tcPr>
            <w:tcW w:w="2671" w:type="dxa"/>
          </w:tcPr>
          <w:p>
            <w:pPr>
              <w:bidi w:val="0"/>
              <w:jc w:val="center"/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40"/>
                <w:szCs w:val="40"/>
                <w:vertAlign w:val="baseline"/>
                <w:lang w:val="en-US" w:eastAsia="ja-JP"/>
              </w:rPr>
              <w:t>ために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接续</w:t>
            </w:r>
          </w:p>
        </w:tc>
        <w:tc>
          <w:tcPr>
            <w:tcW w:w="2670" w:type="dxa"/>
          </w:tcPr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动词[原形]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には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动词[原形]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のに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动词[原形]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ために</w:t>
            </w: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名    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の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ために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概述</w:t>
            </w:r>
          </w:p>
        </w:tc>
        <w:tc>
          <w:tcPr>
            <w:tcW w:w="2670" w:type="dxa"/>
          </w:tcPr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 前项表示后项行为的目的，后项表示的是达到这个目的所需要的行为或必需的事情。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の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起名词化作用</w:t>
            </w:r>
          </w:p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动名词直接接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に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 表示目的或原因，前后小句为同一主语。</w:t>
            </w: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 ✏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息子を留学させるためにお金をたくさん使いました。（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表示目的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）</w:t>
            </w:r>
          </w:p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　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✏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息子を留学するためにお金をたくさん使いました。（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表示原因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注意事项及</w:t>
            </w:r>
          </w:p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一般用法</w:t>
            </w:r>
          </w:p>
        </w:tc>
        <w:tc>
          <w:tcPr>
            <w:tcW w:w="2670" w:type="dxa"/>
          </w:tcPr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 用于规范性、习惯性事项，常用：</w:t>
            </w:r>
          </w:p>
          <w:p>
            <w:pPr>
              <w:bidi w:val="0"/>
              <w:ind w:firstLine="480" w:firstLineChars="2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なければならない</w:t>
            </w:r>
          </w:p>
          <w:p>
            <w:pPr>
              <w:bidi w:val="0"/>
              <w:ind w:firstLine="480" w:firstLineChars="2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が一番いい</w:t>
            </w:r>
          </w:p>
          <w:p>
            <w:pPr>
              <w:bidi w:val="0"/>
              <w:ind w:firstLine="480" w:firstLineChars="2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～たらいい</w:t>
            </w:r>
          </w:p>
          <w:p>
            <w:pPr>
              <w:bidi w:val="0"/>
              <w:ind w:firstLine="480" w:firstLineChars="2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が必要だ</w:t>
            </w:r>
          </w:p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“要···就要···”</w:t>
            </w:r>
          </w:p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“要···最好···”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后多接续</w:t>
            </w: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「使う・用いる・役立つ」</w:t>
            </w:r>
          </w:p>
          <w:p>
            <w:pPr>
              <w:bidi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或</w:t>
            </w: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「必要だ・便利だ」</w:t>
            </w:r>
          </w:p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等表示用途的动词和形容词。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ためには、＿＿＿＿。</w:t>
            </w:r>
          </w:p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  强调后项是前项的必要条件，以体现说话人的判断和主张。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✏</w:t>
            </w:r>
          </w:p>
        </w:tc>
        <w:tc>
          <w:tcPr>
            <w:tcW w:w="2670" w:type="dxa"/>
          </w:tcPr>
          <w:p>
            <w:pPr>
              <w:bidi w:val="0"/>
              <w:ind w:firstLine="240" w:firstLineChars="1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✏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2時のバスに間に合うには、1時に家を出なければならない。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　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✏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大学に入るためには、入学試験を受けなければならない。</w:t>
            </w:r>
          </w:p>
          <w:p>
            <w:pPr>
              <w:bidi w:val="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　</w:t>
            </w: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✏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生きていくためには、空気だけでなく、水もなくてはならないと思います。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bidi w:val="0"/>
              <w:jc w:val="center"/>
              <w:rPr>
                <w:rFonts w:hint="default" w:eastAsia="宋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40"/>
                <w:szCs w:val="40"/>
                <w:vertAlign w:val="baseline"/>
                <w:lang w:val="en-US" w:eastAsia="zh-CN"/>
              </w:rPr>
              <w:t>其他</w:t>
            </w:r>
          </w:p>
        </w:tc>
        <w:tc>
          <w:tcPr>
            <w:tcW w:w="2670" w:type="dxa"/>
          </w:tcPr>
          <w:p>
            <w:pPr>
              <w:bidi w:val="0"/>
              <w:ind w:firstLine="240" w:firstLineChars="1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にはいかない</w:t>
            </w:r>
          </w:p>
          <w:p>
            <w:pPr>
              <w:bidi w:val="0"/>
              <w:ind w:firstLine="240" w:firstLineChars="1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==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に対して</w:t>
            </w:r>
          </w:p>
          <w:p>
            <w:pPr>
              <w:bidi w:val="0"/>
              <w:ind w:firstLine="240" w:firstLineChars="100"/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 xml:space="preserve">== </w:t>
            </w:r>
            <w:r>
              <w:rPr>
                <w:rFonts w:hint="eastAsia" w:eastAsia="MS Mincho"/>
                <w:sz w:val="24"/>
                <w:szCs w:val="24"/>
                <w:vertAlign w:val="baseline"/>
                <w:lang w:val="en-US" w:eastAsia="ja-JP"/>
              </w:rPr>
              <w:t>にとって</w:t>
            </w:r>
          </w:p>
          <w:p>
            <w:pPr>
              <w:bidi w:val="0"/>
              <w:ind w:firstLine="240" w:firstLineChars="10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存在句强调</w:t>
            </w:r>
          </w:p>
        </w:tc>
        <w:tc>
          <w:tcPr>
            <w:tcW w:w="2671" w:type="dxa"/>
          </w:tcPr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bidi w:val="0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03CF4"/>
    <w:rsid w:val="068E32DA"/>
    <w:rsid w:val="08655F22"/>
    <w:rsid w:val="0F3E54DC"/>
    <w:rsid w:val="111435B2"/>
    <w:rsid w:val="12233B94"/>
    <w:rsid w:val="134F1D31"/>
    <w:rsid w:val="15D817B3"/>
    <w:rsid w:val="161660E3"/>
    <w:rsid w:val="16ED06F9"/>
    <w:rsid w:val="1F604709"/>
    <w:rsid w:val="3004132F"/>
    <w:rsid w:val="32D11AF6"/>
    <w:rsid w:val="34545706"/>
    <w:rsid w:val="376D44AB"/>
    <w:rsid w:val="37FF772D"/>
    <w:rsid w:val="3C881E8D"/>
    <w:rsid w:val="41823C49"/>
    <w:rsid w:val="42C25152"/>
    <w:rsid w:val="45C52C8A"/>
    <w:rsid w:val="4FFB7C8B"/>
    <w:rsid w:val="55A2552E"/>
    <w:rsid w:val="576348B4"/>
    <w:rsid w:val="59026B0D"/>
    <w:rsid w:val="5A992F69"/>
    <w:rsid w:val="5C9466F8"/>
    <w:rsid w:val="62D041FE"/>
    <w:rsid w:val="657110FD"/>
    <w:rsid w:val="69320DF1"/>
    <w:rsid w:val="6DE51C96"/>
    <w:rsid w:val="721E3B4F"/>
    <w:rsid w:val="79574ECA"/>
    <w:rsid w:val="7E057E60"/>
    <w:rsid w:val="7E4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2020-07-18T08:00:19Z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